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0" t="0" r="0" b="0"/>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23zNcdcAAAAIAQAADwAAAAAAAAABACAA&#10;AAAiAAAAZHJzL2Rvd25yZXYueG1sUEsBAhQAFAAAAAgAh07iQPSTJisOAgAARgQAAA4AAAAAAAAA&#10;AQAgAAAAJgEAAGRycy9lMm9Eb2MueG1sUEsFBgAAAAAGAAYAWQEAAKYFAAAAAA==&#10;">
                <v:fill on="t" focussize="0,0"/>
                <v:stroke color="#FFFFFF" joinstyle="miter"/>
                <v:imagedata o:title=""/>
                <o:lock v:ext="edit" aspectratio="f"/>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mc:Fallback>
        </mc:AlternateConten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pPr>
        <w:adjustRightInd w:val="0"/>
        <w:snapToGrid w:val="0"/>
        <w:spacing w:line="300" w:lineRule="auto"/>
        <w:jc w:val="left"/>
        <w:rPr>
          <w:b/>
          <w:bCs/>
          <w:snapToGrid w:val="0"/>
          <w:kern w:val="0"/>
          <w:sz w:val="28"/>
          <w:szCs w:val="28"/>
        </w:rPr>
      </w:pPr>
    </w:p>
    <w:p>
      <w:pPr>
        <w:adjustRightInd w:val="0"/>
        <w:snapToGrid w:val="0"/>
        <w:spacing w:line="300" w:lineRule="auto"/>
        <w:jc w:val="center"/>
        <w:rPr>
          <w:rFonts w:asciiTheme="minorEastAsia" w:hAnsiTheme="minorEastAsia" w:eastAsiaTheme="minorEastAsia"/>
          <w:b/>
          <w:snapToGrid w:val="0"/>
          <w:kern w:val="0"/>
          <w:sz w:val="70"/>
          <w:szCs w:val="70"/>
        </w:rPr>
      </w:pPr>
      <w:r>
        <w:rPr>
          <w:rFonts w:hint="eastAsia" w:asciiTheme="minorEastAsia" w:hAnsiTheme="minorEastAsia" w:eastAsiaTheme="minorEastAsia"/>
          <w:b/>
          <w:bCs/>
          <w:snapToGrid w:val="0"/>
          <w:kern w:val="0"/>
          <w:sz w:val="70"/>
          <w:szCs w:val="70"/>
        </w:rPr>
        <w:t>地铁5号线警用通信系统运维项目</w:t>
      </w:r>
    </w:p>
    <w:p>
      <w:pPr>
        <w:adjustRightInd w:val="0"/>
        <w:snapToGrid w:val="0"/>
        <w:spacing w:line="300" w:lineRule="auto"/>
        <w:jc w:val="center"/>
        <w:rPr>
          <w:rFonts w:asciiTheme="minorEastAsia" w:hAnsiTheme="minorEastAsia" w:eastAsiaTheme="minorEastAsia"/>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pPr>
        <w:adjustRightInd w:val="0"/>
        <w:snapToGrid w:val="0"/>
        <w:spacing w:line="300" w:lineRule="auto"/>
        <w:jc w:val="center"/>
        <w:rPr>
          <w:rFonts w:asciiTheme="minorEastAsia" w:hAnsiTheme="minorEastAsia" w:eastAsiaTheme="minorEastAsia"/>
          <w:b/>
          <w:snapToGrid w:val="0"/>
          <w:kern w:val="0"/>
          <w:sz w:val="32"/>
        </w:rPr>
      </w:pPr>
    </w:p>
    <w:p>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SZDL2024001380</w:t>
      </w:r>
    </w:p>
    <w:p>
      <w:pPr>
        <w:adjustRightInd w:val="0"/>
        <w:snapToGrid w:val="0"/>
        <w:spacing w:line="300" w:lineRule="auto"/>
        <w:jc w:val="center"/>
        <w:rPr>
          <w:rFonts w:asciiTheme="minorEastAsia" w:hAnsiTheme="minorEastAsia" w:eastAsiaTheme="minorEastAsia"/>
          <w:b/>
          <w:snapToGrid w:val="0"/>
          <w:kern w:val="0"/>
          <w:sz w:val="18"/>
          <w:szCs w:val="18"/>
        </w:rPr>
      </w:pPr>
    </w:p>
    <w:p>
      <w:pPr>
        <w:adjustRightInd w:val="0"/>
        <w:snapToGrid w:val="0"/>
        <w:spacing w:line="300" w:lineRule="auto"/>
        <w:jc w:val="center"/>
        <w:rPr>
          <w:rFonts w:asciiTheme="minorEastAsia" w:hAnsiTheme="minorEastAsia" w:eastAsiaTheme="minorEastAsia"/>
          <w:b/>
          <w:snapToGrid w:val="0"/>
          <w:kern w:val="0"/>
          <w:sz w:val="44"/>
        </w:rPr>
      </w:pPr>
    </w:p>
    <w:p>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pPr>
        <w:pStyle w:val="26"/>
        <w:adjustRightInd w:val="0"/>
        <w:snapToGrid w:val="0"/>
        <w:spacing w:line="300" w:lineRule="auto"/>
        <w:jc w:val="center"/>
        <w:rPr>
          <w:rFonts w:asciiTheme="minorEastAsia" w:hAnsiTheme="minorEastAsia" w:eastAsiaTheme="minorEastAsia"/>
          <w:b/>
          <w:snapToGrid w:val="0"/>
          <w:sz w:val="30"/>
        </w:rPr>
      </w:pPr>
    </w:p>
    <w:p>
      <w:pPr>
        <w:rPr>
          <w:rFonts w:asciiTheme="minorEastAsia" w:hAnsiTheme="minorEastAsia" w:eastAsiaTheme="minorEastAsia"/>
        </w:rPr>
      </w:pPr>
    </w:p>
    <w:p>
      <w:pPr>
        <w:pStyle w:val="26"/>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二〇二四年</w:t>
      </w:r>
      <w:r>
        <w:rPr>
          <w:rFonts w:hint="eastAsia" w:asciiTheme="minorEastAsia" w:hAnsiTheme="minorEastAsia" w:eastAsiaTheme="minorEastAsia"/>
          <w:b/>
          <w:snapToGrid w:val="0"/>
          <w:sz w:val="30"/>
          <w:lang w:val="en-US" w:eastAsia="zh-CN"/>
        </w:rPr>
        <w:t>七</w:t>
      </w:r>
      <w:r>
        <w:rPr>
          <w:rFonts w:hint="eastAsia" w:asciiTheme="minorEastAsia" w:hAnsiTheme="minorEastAsia" w:eastAsiaTheme="minorEastAsia"/>
          <w:b/>
          <w:snapToGrid w:val="0"/>
          <w:sz w:val="30"/>
        </w:rPr>
        <w:t>月</w:t>
      </w:r>
    </w:p>
    <w:p>
      <w:pP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br w:type="page"/>
      </w: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仿宋" w:hAnsi="仿宋" w:eastAsia="仿宋"/>
          <w:sz w:val="24"/>
        </w:rPr>
      </w:pP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pPr>
        <w:widowControl/>
        <w:spacing w:after="120"/>
        <w:jc w:val="left"/>
        <w:rPr>
          <w:rFonts w:ascii="Times New Roman" w:hAnsi="Times New Roman" w:eastAsiaTheme="minorEastAsia"/>
          <w:kern w:val="0"/>
          <w:sz w:val="24"/>
          <w:szCs w:val="24"/>
        </w:rPr>
      </w:pP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pPr>
        <w:widowControl/>
        <w:spacing w:after="120"/>
        <w:jc w:val="left"/>
        <w:rPr>
          <w:rFonts w:ascii="Times New Roman" w:hAnsi="Times New Roman" w:eastAsiaTheme="minorEastAsia"/>
          <w:kern w:val="0"/>
          <w:sz w:val="24"/>
          <w:szCs w:val="24"/>
        </w:rPr>
      </w:pP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pPr>
        <w:spacing w:line="440" w:lineRule="exact"/>
        <w:ind w:firstLine="373" w:firstLineChars="177"/>
        <w:rPr>
          <w:rFonts w:asciiTheme="minorEastAsia" w:hAnsiTheme="minorEastAsia" w:eastAsiaTheme="minorEastAsia"/>
          <w:b/>
          <w:color w:val="FF0000"/>
          <w:szCs w:val="21"/>
        </w:rPr>
      </w:pPr>
    </w:p>
    <w:p>
      <w:pPr>
        <w:spacing w:line="440" w:lineRule="exact"/>
        <w:ind w:firstLine="373" w:firstLineChars="177"/>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投标供应商涉嫌存在串通投标等违法行为的，将书面报告财政主管部门依法处理。</w:t>
      </w:r>
    </w:p>
    <w:p>
      <w:pPr>
        <w:spacing w:line="360" w:lineRule="auto"/>
        <w:ind w:firstLine="480" w:firstLineChars="200"/>
        <w:rPr>
          <w:sz w:val="40"/>
          <w:szCs w:val="40"/>
        </w:rPr>
      </w:pPr>
      <w:r>
        <w:rPr>
          <w:rFonts w:hint="eastAsia" w:ascii="仿宋" w:hAnsi="仿宋" w:eastAsia="仿宋"/>
          <w:sz w:val="24"/>
        </w:rPr>
        <w:cr/>
      </w:r>
    </w:p>
    <w:p>
      <w:pPr>
        <w:widowControl/>
        <w:jc w:val="left"/>
        <w:rPr>
          <w:rFonts w:ascii="宋体" w:hAnsi="宋体" w:cs="宋体"/>
          <w:kern w:val="0"/>
          <w:sz w:val="40"/>
          <w:szCs w:val="40"/>
        </w:rPr>
      </w:pPr>
      <w:r>
        <w:rPr>
          <w:sz w:val="40"/>
          <w:szCs w:val="40"/>
        </w:rPr>
        <w:br w:type="page"/>
      </w:r>
    </w:p>
    <w:p>
      <w:pPr>
        <w:pStyle w:val="38"/>
        <w:spacing w:before="454" w:beforeAutospacing="0" w:after="454" w:afterAutospacing="0"/>
        <w:ind w:left="454" w:right="454"/>
        <w:jc w:val="center"/>
        <w:outlineLvl w:val="0"/>
        <w:rPr>
          <w:sz w:val="40"/>
          <w:szCs w:val="40"/>
        </w:rPr>
      </w:pPr>
      <w:r>
        <w:rPr>
          <w:rFonts w:hint="eastAsia"/>
          <w:sz w:val="40"/>
          <w:szCs w:val="40"/>
        </w:rPr>
        <w:t>地铁5号线警用通信系统运维项目</w:t>
      </w:r>
    </w:p>
    <w:p>
      <w:pPr>
        <w:pStyle w:val="38"/>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3"/>
        <w:tblW w:w="7938" w:type="dxa"/>
        <w:jc w:val="center"/>
        <w:tblCellSpacing w:w="0" w:type="dxa"/>
        <w:tblLayout w:type="autofit"/>
        <w:tblCellMar>
          <w:top w:w="45" w:type="dxa"/>
          <w:left w:w="45" w:type="dxa"/>
          <w:bottom w:w="45" w:type="dxa"/>
          <w:right w:w="45" w:type="dxa"/>
        </w:tblCellMar>
      </w:tblPr>
      <w:tblGrid>
        <w:gridCol w:w="2722"/>
        <w:gridCol w:w="5216"/>
      </w:tblGrid>
      <w:tr>
        <w:trPr>
          <w:trHeight w:val="737" w:hRule="atLeast"/>
          <w:tblCellSpacing w:w="0" w:type="dxa"/>
          <w:jc w:val="center"/>
        </w:trPr>
        <w:tc>
          <w:tcPr>
            <w:tcW w:w="2722" w:type="dxa"/>
            <w:vAlign w:val="center"/>
          </w:tcPr>
          <w:p>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SZDL2024001380</w:t>
            </w:r>
          </w:p>
        </w:tc>
      </w:tr>
      <w:tr>
        <w:tblPrEx>
          <w:tblCellMar>
            <w:top w:w="45" w:type="dxa"/>
            <w:left w:w="45" w:type="dxa"/>
            <w:bottom w:w="45" w:type="dxa"/>
            <w:right w:w="45" w:type="dxa"/>
          </w:tblCellMar>
        </w:tblPrEx>
        <w:trPr>
          <w:trHeight w:val="737" w:hRule="atLeast"/>
          <w:tblCellSpacing w:w="0" w:type="dxa"/>
          <w:jc w:val="center"/>
        </w:trPr>
        <w:tc>
          <w:tcPr>
            <w:tcW w:w="0" w:type="auto"/>
            <w:vAlign w:val="center"/>
          </w:tcPr>
          <w:p>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pPr>
              <w:rPr>
                <w:rFonts w:cs="宋体" w:asciiTheme="minorEastAsia" w:hAnsiTheme="minorEastAsia" w:eastAsiaTheme="minorEastAsia"/>
                <w:sz w:val="30"/>
                <w:szCs w:val="30"/>
              </w:rPr>
            </w:pPr>
            <w:r>
              <w:rPr>
                <w:rFonts w:hint="eastAsia" w:asciiTheme="minorEastAsia" w:hAnsiTheme="minorEastAsia" w:eastAsiaTheme="minorEastAsia"/>
                <w:sz w:val="30"/>
                <w:szCs w:val="30"/>
              </w:rPr>
              <w:t>地铁5号线警用通信系统运维项目</w:t>
            </w:r>
          </w:p>
        </w:tc>
      </w:tr>
      <w:tr>
        <w:tblPrEx>
          <w:tblCellMar>
            <w:top w:w="45" w:type="dxa"/>
            <w:left w:w="45" w:type="dxa"/>
            <w:bottom w:w="45" w:type="dxa"/>
            <w:right w:w="45" w:type="dxa"/>
          </w:tblCellMar>
        </w:tblPrEx>
        <w:trPr>
          <w:trHeight w:val="737" w:hRule="atLeast"/>
          <w:tblCellSpacing w:w="0" w:type="dxa"/>
          <w:jc w:val="center"/>
        </w:trPr>
        <w:tc>
          <w:tcPr>
            <w:tcW w:w="0" w:type="auto"/>
            <w:vAlign w:val="center"/>
          </w:tcPr>
          <w:p>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pPr>
              <w:rPr>
                <w:rFonts w:cs="宋体" w:asciiTheme="minorEastAsia" w:hAnsiTheme="minorEastAsia" w:eastAsiaTheme="minorEastAsia"/>
                <w:sz w:val="30"/>
                <w:szCs w:val="30"/>
              </w:rPr>
            </w:pPr>
            <w:r>
              <w:rPr>
                <w:rFonts w:asciiTheme="minorEastAsia" w:hAnsiTheme="minorEastAsia" w:eastAsiaTheme="minorEastAsia"/>
                <w:sz w:val="30"/>
                <w:szCs w:val="30"/>
              </w:rPr>
              <w:t>A</w:t>
            </w:r>
          </w:p>
        </w:tc>
      </w:tr>
      <w:tr>
        <w:tblPrEx>
          <w:tblCellMar>
            <w:top w:w="45" w:type="dxa"/>
            <w:left w:w="45" w:type="dxa"/>
            <w:bottom w:w="45" w:type="dxa"/>
            <w:right w:w="45" w:type="dxa"/>
          </w:tblCellMar>
        </w:tblPrEx>
        <w:trPr>
          <w:trHeight w:val="737" w:hRule="atLeast"/>
          <w:tblCellSpacing w:w="0" w:type="dxa"/>
          <w:jc w:val="center"/>
        </w:trPr>
        <w:tc>
          <w:tcPr>
            <w:tcW w:w="0" w:type="auto"/>
            <w:vAlign w:val="center"/>
          </w:tcPr>
          <w:p>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tblPrEx>
          <w:tblCellMar>
            <w:top w:w="45" w:type="dxa"/>
            <w:left w:w="45" w:type="dxa"/>
            <w:bottom w:w="45" w:type="dxa"/>
            <w:right w:w="45" w:type="dxa"/>
          </w:tblCellMar>
        </w:tblPrEx>
        <w:trPr>
          <w:trHeight w:val="737" w:hRule="atLeast"/>
          <w:tblCellSpacing w:w="0" w:type="dxa"/>
          <w:jc w:val="center"/>
        </w:trPr>
        <w:tc>
          <w:tcPr>
            <w:tcW w:w="0" w:type="auto"/>
            <w:vAlign w:val="center"/>
          </w:tcPr>
          <w:p>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tblPrEx>
          <w:tblCellMar>
            <w:top w:w="45" w:type="dxa"/>
            <w:left w:w="45" w:type="dxa"/>
            <w:bottom w:w="45" w:type="dxa"/>
            <w:right w:w="45" w:type="dxa"/>
          </w:tblCellMar>
        </w:tblPrEx>
        <w:trPr>
          <w:trHeight w:val="737" w:hRule="atLeast"/>
          <w:tblCellSpacing w:w="0" w:type="dxa"/>
          <w:jc w:val="center"/>
        </w:trPr>
        <w:tc>
          <w:tcPr>
            <w:tcW w:w="0" w:type="auto"/>
            <w:vAlign w:val="center"/>
          </w:tcPr>
          <w:p>
            <w:pPr>
              <w:jc w:val="right"/>
              <w:rPr>
                <w:rFonts w:ascii="宋体" w:hAnsi="宋体" w:cs="宋体"/>
                <w:sz w:val="30"/>
                <w:szCs w:val="30"/>
              </w:rPr>
            </w:pPr>
            <w:r>
              <w:rPr>
                <w:sz w:val="30"/>
                <w:szCs w:val="30"/>
              </w:rPr>
              <w:t>货币类型：</w:t>
            </w:r>
          </w:p>
        </w:tc>
        <w:tc>
          <w:tcPr>
            <w:tcW w:w="0" w:type="auto"/>
            <w:vAlign w:val="center"/>
          </w:tcPr>
          <w:p>
            <w:pPr>
              <w:rPr>
                <w:rFonts w:ascii="宋体" w:hAnsi="宋体" w:cs="宋体"/>
                <w:sz w:val="30"/>
                <w:szCs w:val="30"/>
              </w:rPr>
            </w:pPr>
            <w:r>
              <w:rPr>
                <w:sz w:val="30"/>
                <w:szCs w:val="30"/>
              </w:rPr>
              <w:t>人民币</w:t>
            </w:r>
          </w:p>
        </w:tc>
      </w:tr>
      <w:tr>
        <w:tblPrEx>
          <w:tblCellMar>
            <w:top w:w="45" w:type="dxa"/>
            <w:left w:w="45" w:type="dxa"/>
            <w:bottom w:w="45" w:type="dxa"/>
            <w:right w:w="45" w:type="dxa"/>
          </w:tblCellMar>
        </w:tblPrEx>
        <w:trPr>
          <w:trHeight w:val="737" w:hRule="atLeast"/>
          <w:tblCellSpacing w:w="0" w:type="dxa"/>
          <w:jc w:val="center"/>
        </w:trPr>
        <w:tc>
          <w:tcPr>
            <w:tcW w:w="0" w:type="auto"/>
            <w:vAlign w:val="center"/>
          </w:tcPr>
          <w:p>
            <w:pPr>
              <w:jc w:val="right"/>
              <w:rPr>
                <w:rFonts w:ascii="宋体" w:hAnsi="宋体" w:cs="宋体"/>
                <w:sz w:val="30"/>
                <w:szCs w:val="30"/>
              </w:rPr>
            </w:pPr>
            <w:r>
              <w:rPr>
                <w:sz w:val="30"/>
                <w:szCs w:val="30"/>
              </w:rPr>
              <w:t>评标方法：</w:t>
            </w:r>
          </w:p>
        </w:tc>
        <w:tc>
          <w:tcPr>
            <w:tcW w:w="0" w:type="auto"/>
            <w:vAlign w:val="center"/>
          </w:tcPr>
          <w:p>
            <w:pPr>
              <w:rPr>
                <w:rFonts w:ascii="宋体" w:hAnsi="宋体" w:cs="宋体"/>
                <w:sz w:val="30"/>
                <w:szCs w:val="30"/>
              </w:rPr>
            </w:pPr>
            <w:r>
              <w:rPr>
                <w:sz w:val="30"/>
                <w:szCs w:val="30"/>
              </w:rPr>
              <w:t>综合评分法（新价格分算法）</w:t>
            </w:r>
          </w:p>
        </w:tc>
      </w:tr>
    </w:tbl>
    <w:p>
      <w:pPr>
        <w:pStyle w:val="38"/>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sz w:val="28"/>
                <w:szCs w:val="28"/>
              </w:rPr>
            </w:pPr>
            <w:r>
              <w:rPr>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sz w:val="28"/>
                <w:szCs w:val="28"/>
              </w:rPr>
            </w:pPr>
            <w:r>
              <w:rPr>
                <w:sz w:val="28"/>
                <w:szCs w:val="28"/>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szCs w:val="21"/>
              </w:rPr>
              <w:t>1</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szCs w:val="21"/>
              </w:rPr>
              <w:t>投标人具备招标文件所列的资格要求，</w:t>
            </w:r>
            <w:r>
              <w:rPr>
                <w:rFonts w:hint="eastAsia"/>
                <w:szCs w:val="21"/>
              </w:rPr>
              <w:t>且</w:t>
            </w:r>
            <w:r>
              <w:rPr>
                <w:szCs w:val="21"/>
              </w:rPr>
              <w:t>提交相应的资格证明资料（详见招标公告</w:t>
            </w:r>
            <w:r>
              <w:rPr>
                <w:rFonts w:ascii="宋体" w:hAnsi="宋体"/>
              </w:rPr>
              <w:t>申请人的资格要求</w:t>
            </w:r>
            <w:r>
              <w:rPr>
                <w:szCs w:val="21"/>
              </w:rPr>
              <w:t>）</w:t>
            </w:r>
          </w:p>
        </w:tc>
      </w:tr>
    </w:tbl>
    <w:p>
      <w:pPr>
        <w:pStyle w:val="38"/>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sz w:val="28"/>
                <w:szCs w:val="28"/>
              </w:rPr>
            </w:pPr>
            <w:r>
              <w:rPr>
                <w:rFonts w:ascii="Times New Roman" w:hAnsi="Times New Roman"/>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sz w:val="28"/>
                <w:szCs w:val="28"/>
              </w:rPr>
            </w:pPr>
            <w:r>
              <w:rPr>
                <w:rFonts w:ascii="Times New Roman" w:hAnsi="Times New Roman"/>
                <w:sz w:val="28"/>
                <w:szCs w:val="28"/>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ascii="Times New Roman" w:hAnsi="Times New Roman"/>
                <w:szCs w:val="21"/>
              </w:rPr>
              <w:t>1</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hint="eastAsia" w:ascii="Times New Roman" w:hAnsi="Times New Roman"/>
                <w:szCs w:val="21"/>
              </w:rPr>
              <w:t>未</w:t>
            </w:r>
            <w:r>
              <w:rPr>
                <w:rFonts w:ascii="Times New Roman" w:hAnsi="Times New Roman"/>
                <w:szCs w:val="21"/>
              </w:rPr>
              <w:t>将一个包或一个标段的内容拆开投标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ascii="Times New Roman" w:hAnsi="Times New Roman"/>
                <w:szCs w:val="21"/>
              </w:rPr>
              <w:t>2</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ascii="Times New Roman" w:hAnsi="Times New Roman"/>
                <w:szCs w:val="21"/>
              </w:rPr>
              <w:t>对同一项目投标时，</w:t>
            </w:r>
            <w:r>
              <w:rPr>
                <w:rFonts w:hint="eastAsia" w:ascii="Times New Roman" w:hAnsi="Times New Roman"/>
                <w:szCs w:val="21"/>
              </w:rPr>
              <w:t>未</w:t>
            </w:r>
            <w:r>
              <w:rPr>
                <w:rFonts w:ascii="Times New Roman" w:hAnsi="Times New Roman"/>
                <w:szCs w:val="21"/>
              </w:rPr>
              <w:t>提供两套</w:t>
            </w:r>
            <w:r>
              <w:rPr>
                <w:rFonts w:hint="eastAsia" w:ascii="Times New Roman" w:hAnsi="Times New Roman"/>
                <w:szCs w:val="21"/>
              </w:rPr>
              <w:t>及</w:t>
            </w:r>
            <w:r>
              <w:rPr>
                <w:rFonts w:ascii="Times New Roman" w:hAnsi="Times New Roman"/>
                <w:szCs w:val="21"/>
              </w:rPr>
              <w:t>以上的投标方案（招标文件另有规定的除外）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ascii="Times New Roman" w:hAnsi="Times New Roman"/>
                <w:szCs w:val="21"/>
              </w:rPr>
              <w:t>3</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ascii="Times New Roman" w:hAnsi="Times New Roman"/>
                <w:szCs w:val="21"/>
              </w:rPr>
              <w:t>分项报价或投标总价</w:t>
            </w:r>
            <w:r>
              <w:rPr>
                <w:rFonts w:hint="eastAsia" w:ascii="Times New Roman" w:hAnsi="Times New Roman"/>
                <w:szCs w:val="21"/>
              </w:rPr>
              <w:t>未超过相应</w:t>
            </w:r>
            <w:r>
              <w:rPr>
                <w:rFonts w:ascii="Times New Roman" w:hAnsi="Times New Roman"/>
                <w:szCs w:val="21"/>
              </w:rPr>
              <w:t>预算金额</w:t>
            </w:r>
            <w:r>
              <w:rPr>
                <w:rFonts w:hint="eastAsia" w:ascii="Times New Roman" w:hAnsi="Times New Roman"/>
                <w:szCs w:val="21"/>
              </w:rPr>
              <w:t>或</w:t>
            </w:r>
            <w:r>
              <w:rPr>
                <w:rFonts w:ascii="Times New Roman" w:hAnsi="Times New Roman"/>
                <w:szCs w:val="21"/>
              </w:rPr>
              <w:t>最高投标限价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ascii="Times New Roman" w:hAnsi="Times New Roman"/>
                <w:szCs w:val="21"/>
              </w:rPr>
              <w:t>4</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hint="eastAsia" w:ascii="Times New Roman" w:hAnsi="Times New Roman"/>
                <w:szCs w:val="21"/>
              </w:rPr>
              <w:t>如评标委员会认为投标人的报价明显低于其他通过符合性审查投标人的报价，有可能影响产品质量或者不能诚信履约的，应当要求其在评标现场合理的时间内提供书面说明，必要时提交相关证明材料；投标人应证明其报价合理性（评审委员会成员对投标人提供的说明材料判断不一致的，按照“少数服从多数”的原则确定评审委员会的意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ascii="Times New Roman" w:hAnsi="Times New Roman"/>
                <w:szCs w:val="21"/>
              </w:rPr>
              <w:t>5</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ascii="Times New Roman" w:hAnsi="Times New Roman"/>
                <w:szCs w:val="21"/>
              </w:rPr>
              <w:t>投标报价</w:t>
            </w:r>
            <w:r>
              <w:rPr>
                <w:rFonts w:hint="eastAsia" w:ascii="Times New Roman" w:hAnsi="Times New Roman"/>
                <w:szCs w:val="21"/>
              </w:rPr>
              <w:t>满足招标文件报价要求且无</w:t>
            </w:r>
            <w:r>
              <w:rPr>
                <w:rFonts w:ascii="Times New Roman" w:hAnsi="Times New Roman"/>
                <w:szCs w:val="21"/>
              </w:rPr>
              <w:t>缺漏项目</w:t>
            </w:r>
            <w:r>
              <w:rPr>
                <w:rFonts w:ascii="宋体" w:hAnsi="宋体" w:cs="宋体"/>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Times New Roman" w:hAnsi="Times New Roman"/>
                <w:szCs w:val="21"/>
              </w:rPr>
            </w:pPr>
            <w:r>
              <w:rPr>
                <w:rFonts w:hint="eastAsia" w:ascii="Times New Roman" w:hAnsi="Times New Roman"/>
                <w:szCs w:val="21"/>
              </w:rPr>
              <w:t>6</w:t>
            </w:r>
          </w:p>
        </w:tc>
        <w:tc>
          <w:tcPr>
            <w:tcW w:w="0" w:type="auto"/>
            <w:tcBorders>
              <w:top w:val="single" w:color="000000" w:sz="8" w:space="0"/>
              <w:left w:val="single" w:color="000000" w:sz="8" w:space="0"/>
              <w:bottom w:val="single" w:color="000000" w:sz="8" w:space="0"/>
              <w:right w:val="single" w:color="000000" w:sz="8" w:space="0"/>
            </w:tcBorders>
          </w:tcPr>
          <w:p>
            <w:pPr>
              <w:rPr>
                <w:rFonts w:ascii="Times New Roman" w:hAnsi="Times New Roman"/>
                <w:szCs w:val="21"/>
              </w:rPr>
            </w:pPr>
            <w:r>
              <w:rPr>
                <w:rFonts w:hint="eastAsia" w:ascii="Times New Roman" w:hAnsi="Times New Roman"/>
                <w:szCs w:val="21"/>
              </w:rPr>
              <w:t>投标文件不存在</w:t>
            </w:r>
            <w:r>
              <w:rPr>
                <w:rFonts w:hint="eastAsia"/>
              </w:rPr>
              <w:t>对招标文件规定的货物或服务或工程量清单的项目或数量进行修改，评标委员会判定投标响应不满足采购需求的情形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hint="eastAsia" w:ascii="Times New Roman" w:hAnsi="Times New Roman"/>
                <w:szCs w:val="21"/>
              </w:rPr>
              <w:t>7</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ascii="Times New Roman" w:hAnsi="Times New Roman"/>
                <w:szCs w:val="21"/>
              </w:rPr>
              <w:t>所投产品、工程、服务在商务、技术等方面实质性满足招标文件要求（是否实质性满足招标文件要求，由评标委员会根据《</w:t>
            </w:r>
            <w:r>
              <w:rPr>
                <w:rFonts w:hint="eastAsia" w:ascii="Times New Roman" w:hAnsi="Times New Roman"/>
                <w:szCs w:val="21"/>
              </w:rPr>
              <w:t>实质性条款响应情况表</w:t>
            </w:r>
            <w:r>
              <w:rPr>
                <w:rFonts w:ascii="Times New Roman" w:hAnsi="Times New Roman"/>
                <w:szCs w:val="21"/>
              </w:rPr>
              <w:t>》做出评判）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hint="eastAsia" w:ascii="Times New Roman" w:hAnsi="Times New Roman"/>
                <w:szCs w:val="21"/>
              </w:rPr>
              <w:t>8</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ascii="Times New Roman" w:hAnsi="Times New Roman"/>
                <w:szCs w:val="21"/>
              </w:rPr>
              <w:t>按招标文件所提供的样式填写《投标函》；按招标文件所提供的《政府采购投标及履约承诺函》进行承诺；</w:t>
            </w:r>
            <w:r>
              <w:rPr>
                <w:rFonts w:hint="eastAsia" w:ascii="Times New Roman" w:hAnsi="Times New Roman"/>
                <w:szCs w:val="21"/>
              </w:rPr>
              <w:t>并</w:t>
            </w:r>
            <w:r>
              <w:rPr>
                <w:rFonts w:ascii="Times New Roman" w:hAnsi="Times New Roman"/>
                <w:szCs w:val="21"/>
              </w:rPr>
              <w:t>按招标文件对投标文件组成的要求提供投标文件（投标文件组成完整）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hint="eastAsia" w:ascii="Times New Roman" w:hAnsi="Times New Roman"/>
                <w:szCs w:val="21"/>
              </w:rPr>
              <w:t>9</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hint="eastAsia" w:ascii="Times New Roman" w:hAnsi="Times New Roman"/>
                <w:szCs w:val="21"/>
              </w:rPr>
              <w:t>投标文件不存在列放位置错误，导致属于信息公开内容没有被公开的情形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hint="eastAsia" w:ascii="Times New Roman" w:hAnsi="Times New Roman"/>
                <w:szCs w:val="21"/>
              </w:rPr>
              <w:t>10</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szCs w:val="21"/>
              </w:rPr>
              <w:t>投标文件</w:t>
            </w:r>
            <w:r>
              <w:rPr>
                <w:rFonts w:hint="eastAsia"/>
                <w:szCs w:val="21"/>
              </w:rPr>
              <w:t>不存在</w:t>
            </w:r>
            <w:r>
              <w:rPr>
                <w:szCs w:val="21"/>
              </w:rPr>
              <w:t>电子文档带病毒</w:t>
            </w:r>
            <w:r>
              <w:rPr>
                <w:rFonts w:hint="eastAsia"/>
                <w:szCs w:val="21"/>
              </w:rPr>
              <w:t>或使</w:t>
            </w:r>
            <w:r>
              <w:rPr>
                <w:szCs w:val="21"/>
              </w:rPr>
              <w:t>用</w:t>
            </w:r>
            <w:r>
              <w:rPr>
                <w:rFonts w:hint="eastAsia"/>
                <w:szCs w:val="21"/>
              </w:rPr>
              <w:t>其他投标人</w:t>
            </w:r>
            <w:r>
              <w:rPr>
                <w:szCs w:val="21"/>
              </w:rPr>
              <w:t>的电子密钥</w:t>
            </w:r>
            <w:r>
              <w:rPr>
                <w:rFonts w:hint="eastAsia"/>
              </w:rPr>
              <w:t>或电子营业执照</w:t>
            </w:r>
            <w:r>
              <w:rPr>
                <w:szCs w:val="21"/>
              </w:rPr>
              <w:t>进行加密</w:t>
            </w:r>
            <w:r>
              <w:rPr>
                <w:rFonts w:hint="eastAsia"/>
                <w:szCs w:val="21"/>
              </w:rPr>
              <w:t>的情形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hint="eastAsia" w:ascii="Times New Roman" w:hAnsi="Times New Roman"/>
                <w:szCs w:val="21"/>
              </w:rPr>
              <w:t>11</w:t>
            </w:r>
          </w:p>
        </w:tc>
        <w:tc>
          <w:tcPr>
            <w:tcW w:w="0" w:type="auto"/>
            <w:tcBorders>
              <w:top w:val="single" w:color="000000" w:sz="8" w:space="0"/>
              <w:left w:val="single" w:color="000000" w:sz="8" w:space="0"/>
              <w:bottom w:val="single" w:color="000000" w:sz="8" w:space="0"/>
              <w:right w:val="single" w:color="000000" w:sz="8" w:space="0"/>
            </w:tcBorders>
          </w:tcPr>
          <w:p>
            <w:pPr>
              <w:rPr>
                <w:rFonts w:cs="宋体" w:asciiTheme="minorEastAsia" w:hAnsiTheme="minorEastAsia" w:eastAsiaTheme="minorEastAsia"/>
                <w:szCs w:val="21"/>
              </w:rPr>
            </w:pPr>
            <w:r>
              <w:rPr>
                <w:rFonts w:asciiTheme="minorEastAsia" w:hAnsiTheme="minorEastAsia" w:eastAsiaTheme="minorEastAsia"/>
              </w:rPr>
              <w:t>不同投标</w:t>
            </w:r>
            <w:r>
              <w:rPr>
                <w:rFonts w:hint="eastAsia" w:asciiTheme="minorEastAsia" w:hAnsiTheme="minorEastAsia" w:eastAsiaTheme="minorEastAsia"/>
              </w:rPr>
              <w:t>人的</w:t>
            </w:r>
            <w:r>
              <w:rPr>
                <w:rFonts w:asciiTheme="minorEastAsia" w:hAnsiTheme="minorEastAsia" w:eastAsiaTheme="minorEastAsia"/>
              </w:rPr>
              <w:t>投标文件</w:t>
            </w:r>
            <w:r>
              <w:rPr>
                <w:rFonts w:hint="eastAsia" w:asciiTheme="minorEastAsia" w:hAnsiTheme="minorEastAsia" w:eastAsiaTheme="minorEastAsia"/>
              </w:rPr>
              <w:t>不存在</w:t>
            </w:r>
            <w:r>
              <w:rPr>
                <w:rFonts w:asciiTheme="minorEastAsia" w:hAnsiTheme="minorEastAsia" w:eastAsiaTheme="minorEastAsia"/>
              </w:rPr>
              <w:t>“文件制作机器码”一致</w:t>
            </w:r>
            <w:r>
              <w:rPr>
                <w:rFonts w:hint="eastAsia" w:asciiTheme="minorEastAsia" w:hAnsiTheme="minorEastAsia" w:eastAsiaTheme="minorEastAsia"/>
              </w:rPr>
              <w:t>或</w:t>
            </w:r>
            <w:r>
              <w:rPr>
                <w:rFonts w:hint="eastAsia" w:ascii="Times New Roman" w:hAnsi="Times New Roman"/>
                <w:szCs w:val="24"/>
              </w:rPr>
              <w:t>“文件创建标识码”一致的情形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szCs w:val="21"/>
              </w:rPr>
            </w:pPr>
            <w:r>
              <w:rPr>
                <w:rFonts w:hint="eastAsia" w:ascii="Times New Roman" w:hAnsi="Times New Roman"/>
                <w:szCs w:val="21"/>
              </w:rPr>
              <w:t>12</w:t>
            </w:r>
          </w:p>
        </w:tc>
        <w:tc>
          <w:tcPr>
            <w:tcW w:w="0" w:type="auto"/>
            <w:tcBorders>
              <w:top w:val="single" w:color="000000" w:sz="8" w:space="0"/>
              <w:left w:val="single" w:color="000000" w:sz="8" w:space="0"/>
              <w:bottom w:val="single" w:color="000000" w:sz="8" w:space="0"/>
              <w:right w:val="single" w:color="000000" w:sz="8" w:space="0"/>
            </w:tcBorders>
          </w:tcPr>
          <w:p>
            <w:pPr>
              <w:rPr>
                <w:rFonts w:ascii="宋体" w:hAnsi="宋体" w:cs="宋体"/>
                <w:szCs w:val="21"/>
              </w:rPr>
            </w:pPr>
            <w:r>
              <w:rPr>
                <w:rFonts w:hint="eastAsia" w:ascii="Times New Roman" w:hAnsi="Times New Roman"/>
                <w:szCs w:val="24"/>
              </w:rPr>
              <w:t>法律、法规、规章、规范性文件规定的其他情形</w:t>
            </w:r>
          </w:p>
        </w:tc>
      </w:tr>
    </w:tbl>
    <w:p>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1、投标人须在开标当日的开标时间至解密截止时间内完成投标文件在线解密，逾期未解密的作无效处理。</w:t>
      </w:r>
    </w:p>
    <w:p>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2、投标人不符合《资格性审查表》或《符合性审查表》中任一情形的，初审不通过，投标无效。</w:t>
      </w:r>
    </w:p>
    <w:p>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3、评标系统执行标书雷同性分析，分析结果供评标委员会参考。</w:t>
      </w:r>
    </w:p>
    <w:p>
      <w:pPr>
        <w:spacing w:line="324" w:lineRule="auto"/>
        <w:ind w:firstLine="420"/>
        <w:rPr>
          <w:rFonts w:asciiTheme="minorEastAsia" w:hAnsiTheme="minorEastAsia" w:eastAsiaTheme="minorEastAsia"/>
          <w:b/>
          <w:color w:val="FF0000"/>
          <w:szCs w:val="21"/>
        </w:rPr>
      </w:pPr>
    </w:p>
    <w:p>
      <w:pPr>
        <w:pStyle w:val="38"/>
        <w:jc w:val="center"/>
        <w:outlineLvl w:val="1"/>
        <w:rPr>
          <w:rFonts w:ascii="黑体" w:hAnsi="黑体" w:eastAsia="黑体"/>
          <w:sz w:val="40"/>
          <w:szCs w:val="40"/>
        </w:rPr>
      </w:pPr>
      <w:r>
        <w:rPr>
          <w:rFonts w:hint="eastAsia" w:ascii="黑体" w:hAnsi="黑体" w:eastAsia="黑体"/>
          <w:sz w:val="40"/>
          <w:szCs w:val="40"/>
        </w:rPr>
        <w:t>评标信息</w:t>
      </w:r>
    </w:p>
    <w:tbl>
      <w:tblPr>
        <w:tblStyle w:val="43"/>
        <w:tblW w:w="9072" w:type="dxa"/>
        <w:jc w:val="center"/>
        <w:tblCellSpacing w:w="0" w:type="dxa"/>
        <w:tblLayout w:type="autofit"/>
        <w:tblCellMar>
          <w:top w:w="45" w:type="dxa"/>
          <w:left w:w="45" w:type="dxa"/>
          <w:bottom w:w="45" w:type="dxa"/>
          <w:right w:w="45" w:type="dxa"/>
        </w:tblCellMar>
      </w:tblPr>
      <w:tblGrid>
        <w:gridCol w:w="8824"/>
        <w:gridCol w:w="248"/>
      </w:tblGrid>
      <w:tr>
        <w:trPr>
          <w:tblCellSpacing w:w="0" w:type="dxa"/>
          <w:jc w:val="center"/>
        </w:trPr>
        <w:tc>
          <w:tcPr>
            <w:tcW w:w="0" w:type="auto"/>
            <w:tcBorders>
              <w:top w:val="nil"/>
              <w:left w:val="nil"/>
              <w:bottom w:val="nil"/>
              <w:right w:val="nil"/>
            </w:tcBorders>
            <w:vAlign w:val="center"/>
          </w:tcPr>
          <w:p>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pPr>
              <w:jc w:val="right"/>
              <w:rPr>
                <w:rFonts w:ascii="宋体" w:hAnsi="宋体" w:cs="宋体"/>
                <w:b/>
                <w:bCs/>
                <w:sz w:val="24"/>
                <w:szCs w:val="24"/>
              </w:rPr>
            </w:pPr>
          </w:p>
        </w:tc>
      </w:tr>
      <w:tr>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pPr>
              <w:pStyle w:val="38"/>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pPr>
              <w:pStyle w:val="38"/>
              <w:ind w:firstLine="420"/>
              <w:rPr>
                <w:sz w:val="21"/>
                <w:szCs w:val="21"/>
              </w:rPr>
            </w:pPr>
            <w:r>
              <w:rPr>
                <w:sz w:val="21"/>
                <w:szCs w:val="21"/>
              </w:rPr>
              <w:t>价格分计算方法：</w:t>
            </w:r>
          </w:p>
          <w:p>
            <w:pPr>
              <w:pStyle w:val="38"/>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p>
          <w:p>
            <w:pPr>
              <w:pStyle w:val="38"/>
              <w:spacing w:line="324" w:lineRule="auto"/>
              <w:ind w:left="420"/>
              <w:rPr>
                <w:sz w:val="21"/>
                <w:szCs w:val="21"/>
              </w:rPr>
            </w:pPr>
            <w:r>
              <w:rPr>
                <w:sz w:val="21"/>
                <w:szCs w:val="21"/>
              </w:rPr>
              <w:t xml:space="preserve">投标报价得分=(评标基准价／投标报价)×100 </w:t>
            </w:r>
          </w:p>
          <w:p>
            <w:pPr>
              <w:pStyle w:val="38"/>
              <w:spacing w:line="324" w:lineRule="auto"/>
              <w:ind w:left="420"/>
              <w:rPr>
                <w:sz w:val="21"/>
                <w:szCs w:val="21"/>
              </w:rPr>
            </w:pPr>
            <w:r>
              <w:rPr>
                <w:sz w:val="21"/>
                <w:szCs w:val="21"/>
              </w:rPr>
              <w:t xml:space="preserve">评标总得分＝F1×A1＋F2×A2＋……＋Fn×An </w:t>
            </w:r>
          </w:p>
          <w:p>
            <w:pPr>
              <w:pStyle w:val="38"/>
              <w:spacing w:line="324" w:lineRule="auto"/>
              <w:ind w:left="420"/>
              <w:rPr>
                <w:sz w:val="21"/>
                <w:szCs w:val="21"/>
              </w:rPr>
            </w:pPr>
            <w:r>
              <w:rPr>
                <w:sz w:val="21"/>
                <w:szCs w:val="21"/>
              </w:rPr>
              <w:t xml:space="preserve">F1、F2……Fn分别为各项评审因素的得分； </w:t>
            </w:r>
          </w:p>
          <w:p>
            <w:pPr>
              <w:pStyle w:val="38"/>
              <w:spacing w:line="324" w:lineRule="auto"/>
              <w:ind w:left="420"/>
              <w:rPr>
                <w:sz w:val="21"/>
                <w:szCs w:val="21"/>
              </w:rPr>
            </w:pPr>
            <w:r>
              <w:rPr>
                <w:sz w:val="21"/>
                <w:szCs w:val="21"/>
              </w:rPr>
              <w:t xml:space="preserve">A1、A2、……An 分别为各项评审因素所占的权重(A1＋A2＋……＋An＝1)。 </w:t>
            </w:r>
          </w:p>
          <w:p>
            <w:pPr>
              <w:pStyle w:val="38"/>
              <w:spacing w:line="324" w:lineRule="auto"/>
              <w:ind w:left="420"/>
              <w:rPr>
                <w:sz w:val="21"/>
                <w:szCs w:val="21"/>
              </w:rPr>
            </w:pPr>
            <w:r>
              <w:rPr>
                <w:sz w:val="21"/>
                <w:szCs w:val="21"/>
              </w:rPr>
              <w:t xml:space="preserve">评标过程中，不得去掉报价中的最高报价和最低报价。 </w:t>
            </w:r>
          </w:p>
          <w:p>
            <w:pPr>
              <w:pStyle w:val="38"/>
              <w:spacing w:line="324" w:lineRule="auto"/>
              <w:ind w:left="420"/>
              <w:rPr>
                <w:sz w:val="21"/>
                <w:szCs w:val="21"/>
              </w:rPr>
            </w:pPr>
            <w:r>
              <w:rPr>
                <w:sz w:val="21"/>
                <w:szCs w:val="21"/>
              </w:rPr>
              <w:t xml:space="preserve">此方法适用于货物类、服务类、工程类项目。 </w:t>
            </w:r>
          </w:p>
        </w:tc>
      </w:tr>
    </w:tbl>
    <w:p>
      <w:pPr>
        <w:rPr>
          <w:vanish/>
        </w:rPr>
      </w:pPr>
    </w:p>
    <w:tbl>
      <w:tblPr>
        <w:tblStyle w:val="43"/>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46"/>
        <w:gridCol w:w="645"/>
        <w:gridCol w:w="2536"/>
        <w:gridCol w:w="661"/>
        <w:gridCol w:w="51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序号</w:t>
            </w:r>
          </w:p>
        </w:tc>
        <w:tc>
          <w:tcPr>
            <w:tcW w:w="4196"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评分项</w:t>
            </w:r>
          </w:p>
        </w:tc>
        <w:tc>
          <w:tcPr>
            <w:tcW w:w="4763" w:type="dxa"/>
            <w:tcBorders>
              <w:top w:val="single" w:color="000000" w:sz="8" w:space="0"/>
              <w:left w:val="single" w:color="000000" w:sz="8" w:space="0"/>
              <w:bottom w:val="single" w:color="000000" w:sz="8" w:space="0"/>
              <w:right w:val="single" w:color="000000" w:sz="8"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权重(%)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1</w:t>
            </w:r>
          </w:p>
        </w:tc>
        <w:tc>
          <w:tcPr>
            <w:tcW w:w="4196" w:type="dxa"/>
            <w:gridSpan w:val="3"/>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价格</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2</w:t>
            </w:r>
          </w:p>
        </w:tc>
        <w:tc>
          <w:tcPr>
            <w:tcW w:w="4196" w:type="dxa"/>
            <w:gridSpan w:val="3"/>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技术</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4763"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实施方案</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13</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投标人通过合理的实施方案充分阐述对地铁警用通信系统运维服务工作的理解，实施方案包含以下内容：</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1.提出地铁警用通信系统运维服务工</w:t>
            </w:r>
            <w:r>
              <w:rPr>
                <w:rFonts w:hint="eastAsia" w:ascii="宋体" w:hAnsi="宋体" w:eastAsia="宋体" w:cs="宋体"/>
                <w:sz w:val="21"/>
                <w:szCs w:val="21"/>
                <w:highlight w:val="none"/>
              </w:rPr>
              <w:t>作的理解</w:t>
            </w:r>
            <w:r>
              <w:rPr>
                <w:rFonts w:hint="eastAsia" w:ascii="宋体" w:hAnsi="宋体" w:eastAsia="宋体" w:cs="宋体"/>
                <w:sz w:val="21"/>
                <w:szCs w:val="21"/>
              </w:rPr>
              <w:t>；</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2.提出地铁警用通信系统运维服务工作的维护标准和管理办法、团队组织架构和人员安排、巡检制度、值班制度；</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3.提出地铁警用通信系统运维服务工作的总体工作流程；</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4.根据地铁警用通信系统运维服务工作的需要，提出人员安全、信息系统和网络安全管理制度；</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5.根据地铁警用通信系统运维服务工作的需要，提出应急保障服务、隐患预防及跟踪处理、巡检工作管理、事故预案。</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（二）评分标准：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上述1-5项累计得分，满足任意一项得16分，满足全部五项得80分，未满足不得分；在此基础上，专家根据各投标人的具体响应内容按照量化的评审因素进一步评审：</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1.优评分标准：方案内容完整准确，思路清晰，贴合实际情况，措施内容详实具体，可执行性强；</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2.良评分标准：方案内容较完整准确，思路较清晰，较贴合实际情况，措施内容较详实具体，可执行性较强；</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3.中评分标准：方案内容不够完整，思路不够清晰，不够贴合实际情况，措施内容不够详实具体，可执行性一般；</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4.差评分标准：未提供完整方案或方案内容过于简单且可执行性差。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评审为优加20分；评审为良加10分；评审为中加5分；评审为差不加分。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项目重点难点分析、应对措施及相关的合理化建议</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（一）评分内容：</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投标人对以下各项服务内容在服务过程中的重点、难点问题进行分析并给出合理性建议：</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1.警用有线通信系统重点难点分析及应对措施，包括故障管控、安全管控、线路维护等；</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2.警用视频监控系统重点难点分析及应对措施，包括路由、点位、安全问题、防尘防潮、防雷抗干扰、管理平台故障、硬件故障、图像失真丢失等；</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3.警用无线通信系统重点难点分析及应对措施，包括故障处理、基站巡检等。</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上述1-3项累计得分，满足任意一项得20分，满足任意两项得50分，满足全部三项得80分，未满足不得分；在此基础上，专家根据各投标人的具体响应内容按照量化的评审因素进一步评审：</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1.优评分标准：内容完整准确，对项目重点难点分析、应对措施及相关的合理化建议准确有效的；</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2.良评分标准：内容较完整准确，对项目重点难点分析、应对措施及相关的合理化建议比较准确有效的；</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3.中评分标准：内容完整准确度一般，对项目重点难点分析、应对措施及相关的合理化建议基本准确有效的；</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4.差评分标准：内容不完整且不准确，对项目重点难点分析、应对措施及相关的合理化建议不够准确有效的。</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评审为优加20分；评审为良加10分；评审为中加5分；评审为差不加分。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质量保障措施及方案</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投标人根据本项目服务要求，提出符合本项目特点的质量保障措施及方案，内容包括：</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1.进度计划保证措施；</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2.安全和环保保障措施；</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3.质量和稳定性保障方案</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上述1-3项累计得分，满足任意一项得20分，满足任意两项得50分，满足全部三项得80分，未满足不得分；在此基础上，专家根据各投标人的具体响应内容按照量化的评审因素进一步评审：</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1.优评分标准：内容完整全面，质量保障措施及方案完全符合本项目特点、针对性强；</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2.良评分标准：内容较完整全面、质量保障措施及方案基本符合本项目特点、针对性较强；</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3.中评分标准：内容完整度一般，质量保障措施及方案基本符合本项目特点、针对性一般；</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4.差评分标准：内容完整度差，质量保障措施及方案不符合本项目特点、没有针对性。</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评审为优加20分；评审为良加10分；评审为中加5分；评审为差不加分。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项目完成（服务期满）后的服务承诺</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投标人提供项目完成（服务期满）后的服务承诺，承诺以下全部内容的得100分，否则不得分。</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1.服务期满后主动离岗；</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2.与后续服务公司进行交接；</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3.服务期满，后续服务公司未到位前仍按原合同服务承诺提供服务。</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提供《项目完成（服务期满）后的服务承诺函》（格式自定）作为得分依据，未提供承诺或承诺内容不满足要求的不得分。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违约承诺</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投标人提供项目违约承诺，满足以下全部要求的得100分，否则不得分。</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1.人员严格按照招标文件及投标承诺配置；</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2.服务质量达到招标文件要求；</w:t>
            </w:r>
          </w:p>
          <w:p>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3.对未能达到的管理要求承担管理责任。</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提供《违约承诺函》（格式自定）作为得分依据，未提供承诺或承诺内容不满足要求的不得分。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拟安排的项目负责人情况（仅限一人）</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拟安排的项目负责人（仅限1人）需为投标人自有员工，否则本项不得分。在此基础上：</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1.具有本科或以上学历证书的，得30分；</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2.具有计算机技术与软件专业技术资格证书（系统集成项目管理工程师或信息系统项目管理师）的，得35分；</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3.2021年7月1日至本项目投标截止日，曾负责过同类运维项目经验的，得35分。</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注：以上3项累计得分，最高得100分。</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提供项目负责人通过投标人缴纳的载有社保部门或税务部门公章的近三个月（2024年4月-2024年6月）内任意一个月的个人社保证明；如投标人为新成立单位且成立时间不足一个月的，可提供加盖投标人公章的情况说明或者证明材料，无需提供相关人员社保，亦视为符合；如为退休返聘人员则提供劳动合同或返聘协议，无需提供相关人员社保，亦视为符合；</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提供项目负责人上述相关证书作为评分依据，涉及学历提供毕业证书的，还需同时提供学信网查询记录截图【如较早颁发的学历证书，学信网无法查询的，可提供毕业院校或教育或人社部门等颁发机构或监管机构等出具的证明，如海外留学（含港澳台）人学历无法通过学信网站查询的，应当提供教育部留学服务中心出具的国外学历学位认证证书以及教育部留学服务中心官网查询截图。若证明文件为其它语言，必须附中文译文，以中文译文为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3.如涉及考察人员工作经验，要求提供项目合同关键信息作为得分依据，通过合同关键信息无法判断是否得分的，还须同时提供合同甲方出具的证明文件；</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kern w:val="0"/>
                <w:sz w:val="21"/>
                <w:szCs w:val="21"/>
              </w:rPr>
              <w:t>提供</w:t>
            </w:r>
            <w:r>
              <w:rPr>
                <w:rFonts w:hint="eastAsia" w:ascii="宋体" w:hAnsi="宋体" w:eastAsia="宋体" w:cs="宋体"/>
                <w:sz w:val="21"/>
                <w:szCs w:val="21"/>
              </w:rPr>
              <w:t>以上证明文件</w:t>
            </w:r>
            <w:r>
              <w:rPr>
                <w:rFonts w:hint="eastAsia" w:ascii="宋体" w:hAnsi="宋体" w:eastAsia="宋体" w:cs="宋体"/>
                <w:kern w:val="0"/>
                <w:sz w:val="21"/>
                <w:szCs w:val="21"/>
              </w:rPr>
              <w:t>扫描件，</w:t>
            </w:r>
            <w:r>
              <w:rPr>
                <w:rFonts w:hint="eastAsia" w:ascii="宋体" w:hAnsi="宋体" w:eastAsia="宋体" w:cs="宋体"/>
                <w:sz w:val="21"/>
                <w:szCs w:val="21"/>
              </w:rPr>
              <w:t>如涉及网站截图或照片等证明材料,需提供清晰图片,</w:t>
            </w:r>
            <w:r>
              <w:rPr>
                <w:rFonts w:hint="eastAsia" w:ascii="宋体" w:hAnsi="宋体" w:eastAsia="宋体" w:cs="宋体"/>
                <w:kern w:val="0"/>
                <w:sz w:val="21"/>
                <w:szCs w:val="21"/>
              </w:rPr>
              <w:t>原件备查</w:t>
            </w:r>
            <w:r>
              <w:rPr>
                <w:rFonts w:hint="eastAsia" w:ascii="宋体" w:hAnsi="宋体" w:eastAsia="宋体" w:cs="宋体"/>
                <w:sz w:val="21"/>
                <w:szCs w:val="21"/>
              </w:rPr>
              <w:t>。未按要求提供有效证明材料或提供不清晰导致评委无法识别的不计得分。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拟安排的项目主要团队成员（主要技术人员）情况（项目负责人除外）</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12</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拟安排的项目团队成员（项目负责人除外）需为投标人</w:t>
            </w:r>
            <w:r>
              <w:rPr>
                <w:rFonts w:hint="eastAsia" w:ascii="宋体" w:hAnsi="宋体" w:eastAsia="宋体" w:cs="宋体"/>
                <w:color w:val="000000" w:themeColor="text1"/>
                <w:sz w:val="21"/>
                <w:szCs w:val="21"/>
                <w14:textFill>
                  <w14:solidFill>
                    <w14:schemeClr w14:val="tx1"/>
                  </w14:solidFill>
                </w14:textFill>
              </w:rPr>
              <w:t>正式聘任</w:t>
            </w:r>
            <w:r>
              <w:rPr>
                <w:rFonts w:hint="eastAsia" w:ascii="宋体" w:hAnsi="宋体" w:eastAsia="宋体" w:cs="宋体"/>
                <w:sz w:val="21"/>
                <w:szCs w:val="21"/>
              </w:rPr>
              <w:t>员工，否则本项不得分。在此基础上，按以下标准评分：</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1.项目团队成员中具有计算机技术与软件专业技术资格证书（网络工程师）的，提供上述证书1 名得10分，其他情况不得分，本小项最高得10分。</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2.项目团队成员中具有安防系统集成项目经理证书的，提供上述证书（中级）1 名得10分，提供上述证书（高级）1 名得20分，其他情况不得分，本小项最高得20分。</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3.项目团队成员中具有网络信息安全工程师的，提供上述证书（中级）1 名得10分，提供上述证书（高级）1 名得20分，其他情况不得分，本小项最高得20分。</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4.项目团队成员中具有弱电系统工程师证书的，提供上述证书（中级）1 名得10分，提供上述证书（高级）1 名得20分，其他情况不得分，本小项最高得20分。</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5.项目团队成员中具有IT运维工程师证书的，提供上述证书（中级）1 名得5分，提供上述证书（中级）2 名得10分，提供上述证书（高级）1 名得10分，提供上述证书（高级）2名得20分，其他情况不得分，本小项最高得20分。</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6.项目团队成员中具有智能化系统工程师证书的，提供上述证书（中级）1 名得5分，提供上述证书（高级）1 名得10分，其他情况不得分，本小项最高得10分。</w:t>
            </w:r>
          </w:p>
          <w:p>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sz w:val="21"/>
                <w:szCs w:val="21"/>
              </w:rPr>
              <w:t>注：以上同一人员具有多个证书的仅按得分最高值计算，不重复得分。</w:t>
            </w:r>
          </w:p>
          <w:p>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pPr>
              <w:pStyle w:val="149"/>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提供项目团队成员通过投标人缴纳的载有社保部门或税务部门公章的近三个月（2024年4月-2024年6月）内任意一个月的个人社保证明；如投标人为新成立单位且成立时间不足一个月的，可提供加盖投标人公章的情况说明或者证明材料，无需提供相关人员社保，亦视为符合；如为退休返聘人员则提供劳动合同或返聘协议，无需提供相关人员社保，亦视为符合；</w:t>
            </w:r>
          </w:p>
          <w:p>
            <w:pPr>
              <w:pStyle w:val="149"/>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2.提供项目团队成员上述相关证书作为评分依据；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kern w:val="0"/>
                <w:sz w:val="21"/>
                <w:szCs w:val="21"/>
              </w:rPr>
              <w:t>提供</w:t>
            </w:r>
            <w:r>
              <w:rPr>
                <w:rFonts w:hint="eastAsia" w:ascii="宋体" w:hAnsi="宋体" w:eastAsia="宋体" w:cs="宋体"/>
                <w:sz w:val="21"/>
                <w:szCs w:val="21"/>
              </w:rPr>
              <w:t>以上证明文件</w:t>
            </w:r>
            <w:r>
              <w:rPr>
                <w:rFonts w:hint="eastAsia" w:ascii="宋体" w:hAnsi="宋体" w:eastAsia="宋体" w:cs="宋体"/>
                <w:kern w:val="0"/>
                <w:sz w:val="21"/>
                <w:szCs w:val="21"/>
              </w:rPr>
              <w:t>扫描件，</w:t>
            </w:r>
            <w:r>
              <w:rPr>
                <w:rFonts w:hint="eastAsia" w:ascii="宋体" w:hAnsi="宋体" w:eastAsia="宋体" w:cs="宋体"/>
                <w:sz w:val="21"/>
                <w:szCs w:val="21"/>
              </w:rPr>
              <w:t>如涉及网站截图或照片等证明材料,需提供清晰图片,</w:t>
            </w:r>
            <w:r>
              <w:rPr>
                <w:rFonts w:hint="eastAsia" w:ascii="宋体" w:hAnsi="宋体" w:eastAsia="宋体" w:cs="宋体"/>
                <w:kern w:val="0"/>
                <w:sz w:val="21"/>
                <w:szCs w:val="21"/>
              </w:rPr>
              <w:t>原件备查</w:t>
            </w:r>
            <w:r>
              <w:rPr>
                <w:rFonts w:hint="eastAsia" w:ascii="宋体" w:hAnsi="宋体" w:eastAsia="宋体" w:cs="宋体"/>
                <w:sz w:val="21"/>
                <w:szCs w:val="21"/>
              </w:rPr>
              <w:t>。未按要求提供有效证明材料或提供不清晰导致评委无法识别的不计得分。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bottom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拟投入的服务资源（车辆、场地）情况</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1.车辆要求：投标人承诺为本项目提供1辆或以上车辆（无限号或禁行问题）</w:t>
            </w:r>
            <w:r>
              <w:rPr>
                <w:rFonts w:hint="eastAsia" w:ascii="宋体" w:hAnsi="宋体" w:eastAsia="宋体" w:cs="宋体"/>
                <w:sz w:val="21"/>
                <w:szCs w:val="21"/>
                <w:lang w:val="en-US" w:eastAsia="zh-CN"/>
              </w:rPr>
              <w:t>进行</w:t>
            </w:r>
            <w:r>
              <w:rPr>
                <w:rFonts w:hint="eastAsia" w:ascii="宋体" w:hAnsi="宋体" w:eastAsia="宋体" w:cs="宋体"/>
                <w:sz w:val="21"/>
                <w:szCs w:val="21"/>
              </w:rPr>
              <w:t>抢修、应急使用</w:t>
            </w:r>
            <w:r>
              <w:rPr>
                <w:rFonts w:hint="eastAsia" w:ascii="宋体" w:hAnsi="宋体" w:eastAsia="宋体" w:cs="宋体"/>
                <w:sz w:val="21"/>
                <w:szCs w:val="21"/>
                <w:lang w:eastAsia="zh-CN"/>
              </w:rPr>
              <w:t>的</w:t>
            </w:r>
            <w:r>
              <w:rPr>
                <w:rFonts w:hint="eastAsia" w:ascii="宋体" w:hAnsi="宋体" w:eastAsia="宋体" w:cs="宋体"/>
                <w:sz w:val="21"/>
                <w:szCs w:val="21"/>
              </w:rPr>
              <w:t>，得50分；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2.场地要求：投标人承诺为本项目提供1个或以上仓库场地</w:t>
            </w:r>
            <w:r>
              <w:rPr>
                <w:rFonts w:hint="eastAsia" w:ascii="宋体" w:hAnsi="宋体" w:eastAsia="宋体" w:cs="宋体"/>
                <w:sz w:val="21"/>
                <w:szCs w:val="21"/>
                <w:lang w:val="en-US" w:eastAsia="zh-CN"/>
              </w:rPr>
              <w:t>进行备品备件存放使用</w:t>
            </w:r>
            <w:r>
              <w:rPr>
                <w:rFonts w:hint="eastAsia" w:ascii="宋体" w:hAnsi="宋体" w:eastAsia="宋体" w:cs="宋体"/>
                <w:sz w:val="21"/>
                <w:szCs w:val="21"/>
              </w:rPr>
              <w:t>的，得50分。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注：车辆及场地均接受自有或租赁两种形式，以上2项可累计计分，最高得100分。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（二）评分依据: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要求投标人提供承诺函（格式自定）作为评分依据，未提供承诺或承诺内容不满足要求均不得分。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3</w:t>
            </w:r>
          </w:p>
        </w:tc>
        <w:tc>
          <w:tcPr>
            <w:tcW w:w="4196" w:type="dxa"/>
            <w:gridSpan w:val="3"/>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商务</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4763"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0" w:type="auto"/>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供应商认证情况</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投标人具有质量管理体系认证证书的，得100分</w:t>
            </w:r>
            <w:r>
              <w:rPr>
                <w:rFonts w:hint="eastAsia" w:ascii="宋体" w:hAnsi="宋体" w:cs="宋体"/>
                <w:sz w:val="21"/>
                <w:szCs w:val="21"/>
                <w:lang w:eastAsia="zh-CN"/>
              </w:rPr>
              <w:t>。</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要求提供上述有效的证书作为评分依据，其中涉及认证证书的，需同时提供该证书在全国认证认可信息公共服务平台（网址：http://cx.cnca.cn/CertECloud/index/index/page）的查询记录，相关证书在公开渠道无法查询的，需要求提供颁发部门或者监管机构的证明材料，证明证书真实有效且为合法机构颁发；</w:t>
            </w:r>
          </w:p>
          <w:p>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kern w:val="0"/>
                <w:sz w:val="21"/>
                <w:szCs w:val="21"/>
              </w:rPr>
              <w:t>提供</w:t>
            </w:r>
            <w:r>
              <w:rPr>
                <w:rFonts w:hint="eastAsia" w:ascii="宋体" w:hAnsi="宋体" w:eastAsia="宋体" w:cs="宋体"/>
                <w:sz w:val="21"/>
                <w:szCs w:val="21"/>
              </w:rPr>
              <w:t>以上证明文件</w:t>
            </w:r>
            <w:r>
              <w:rPr>
                <w:rFonts w:hint="eastAsia" w:ascii="宋体" w:hAnsi="宋体" w:eastAsia="宋体" w:cs="宋体"/>
                <w:kern w:val="0"/>
                <w:sz w:val="21"/>
                <w:szCs w:val="21"/>
              </w:rPr>
              <w:t>扫描件，</w:t>
            </w:r>
            <w:r>
              <w:rPr>
                <w:rFonts w:hint="eastAsia" w:ascii="宋体" w:hAnsi="宋体" w:eastAsia="宋体" w:cs="宋体"/>
                <w:sz w:val="21"/>
                <w:szCs w:val="21"/>
              </w:rPr>
              <w:t>如涉及网站截图或照片等证明材料,需提供清晰图片,</w:t>
            </w:r>
            <w:r>
              <w:rPr>
                <w:rFonts w:hint="eastAsia" w:ascii="宋体" w:hAnsi="宋体" w:eastAsia="宋体" w:cs="宋体"/>
                <w:kern w:val="0"/>
                <w:sz w:val="21"/>
                <w:szCs w:val="21"/>
              </w:rPr>
              <w:t>原件备查</w:t>
            </w:r>
            <w:r>
              <w:rPr>
                <w:rFonts w:hint="eastAsia" w:ascii="宋体" w:hAnsi="宋体" w:eastAsia="宋体" w:cs="宋体"/>
                <w:sz w:val="21"/>
                <w:szCs w:val="21"/>
              </w:rPr>
              <w:t>。未按要求提供有效证明材料或提供不清晰导致评委无法识别的不计得分。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供应商同类项目业绩情况</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2021年7月1日至本项目投标截止日（以合同签订日期为准），投标人具有已完成的同类项目业绩且履约评价合格（或以上评价）或者验收合格的；提供1项有效业绩得33分，提供2项有效业绩得67分，提供3项有效业绩得100分；本项最高得100分。</w:t>
            </w: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1.要求同时提供合同关键信息和已完成且履约评价合格（或以上评价）或者验收合格证明文件作为评分依据，履约评价合格（或以上评价）或者验收合格证明文件需加盖合同甲方公章（或甲方业务章）；</w:t>
            </w:r>
          </w:p>
          <w:p>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2.通过合同关键信息无法判断是否得分的，还需提供能证明得分的其它证明资料，如项目报告或合同甲方出具的证明文件；</w:t>
            </w:r>
          </w:p>
          <w:p>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kern w:val="0"/>
                <w:sz w:val="21"/>
                <w:szCs w:val="21"/>
              </w:rPr>
              <w:t>以上</w:t>
            </w:r>
            <w:r>
              <w:rPr>
                <w:rFonts w:hint="eastAsia" w:ascii="宋体" w:hAnsi="宋体" w:eastAsia="宋体" w:cs="宋体"/>
                <w:sz w:val="21"/>
                <w:szCs w:val="21"/>
              </w:rPr>
              <w:t>证明文件</w:t>
            </w:r>
            <w:r>
              <w:rPr>
                <w:rFonts w:hint="eastAsia" w:ascii="宋体" w:hAnsi="宋体" w:eastAsia="宋体" w:cs="宋体"/>
                <w:kern w:val="0"/>
                <w:sz w:val="21"/>
                <w:szCs w:val="21"/>
              </w:rPr>
              <w:t>均提供扫描件，原件备查。</w:t>
            </w:r>
            <w:r>
              <w:rPr>
                <w:rFonts w:hint="eastAsia" w:ascii="宋体" w:hAnsi="宋体" w:eastAsia="宋体" w:cs="宋体"/>
                <w:sz w:val="21"/>
                <w:szCs w:val="21"/>
              </w:rPr>
              <w:t>未按要求提供有效证明材料或提供不清晰导致评委无法识别的不计得分。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服务网点</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（一）评审内容：</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供应商承诺中标后提供本地经营（服务）网点的，得100分。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（二）评审依据：</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要求投标人提供承诺（格式自定）作为得分依据，未提供承诺或承诺内容不满足要求均不得分。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4</w:t>
            </w:r>
          </w:p>
        </w:tc>
        <w:tc>
          <w:tcPr>
            <w:tcW w:w="4196" w:type="dxa"/>
            <w:gridSpan w:val="3"/>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其他</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color w:val="0000FF"/>
                <w:sz w:val="21"/>
                <w:szCs w:val="21"/>
              </w:rPr>
            </w:pPr>
            <w:r>
              <w:rPr>
                <w:rFonts w:hint="eastAsia" w:ascii="宋体" w:hAnsi="宋体" w:eastAsia="宋体" w:cs="宋体"/>
                <w:b/>
                <w:bCs/>
                <w:color w:val="0000FF"/>
                <w:sz w:val="21"/>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4763" w:type="dxa"/>
            <w:tcBorders>
              <w:top w:val="outset" w:color="000000" w:sz="6" w:space="0"/>
              <w:left w:val="outset" w:color="000000" w:sz="6" w:space="0"/>
              <w:bottom w:val="outset" w:color="000000" w:sz="6" w:space="0"/>
              <w:right w:val="outset" w:color="000000" w:sz="6" w:space="0"/>
            </w:tcBorders>
            <w:shd w:val="clear" w:color="auto" w:fill="E6EFFA"/>
            <w:vAlign w:val="center"/>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pPr>
              <w:keepNext w:val="0"/>
              <w:keepLines w:val="0"/>
              <w:pageBreakBefore w:val="0"/>
              <w:kinsoku/>
              <w:wordWrap/>
              <w:overflowPunct/>
              <w:topLinePunct w:val="0"/>
              <w:bidi w:val="0"/>
              <w:spacing w:line="360" w:lineRule="auto"/>
              <w:textAlignment w:val="auto"/>
              <w:rPr>
                <w:rFonts w:hint="eastAsia" w:ascii="宋体" w:hAnsi="宋体" w:eastAsia="宋体" w:cs="宋体"/>
                <w:b/>
                <w:bCs/>
                <w:color w:val="0000FF"/>
                <w:sz w:val="21"/>
                <w:szCs w:val="21"/>
              </w:rPr>
            </w:pPr>
          </w:p>
        </w:tc>
        <w:tc>
          <w:tcPr>
            <w:tcW w:w="680"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835"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681"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4763" w:type="dxa"/>
            <w:tcBorders>
              <w:top w:val="single" w:color="000000" w:sz="8" w:space="0"/>
              <w:left w:val="single" w:color="000000" w:sz="8" w:space="0"/>
              <w:bottom w:val="single" w:color="000000" w:sz="8" w:space="0"/>
              <w:right w:val="single" w:color="000000" w:sz="8" w:space="0"/>
            </w:tcBorders>
          </w:tcPr>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r>
    </w:tbl>
    <w:p/>
    <w:p/>
    <w:p>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4"/>
        <w:gridCol w:w="42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pPr>
        <w:spacing w:line="360" w:lineRule="auto"/>
        <w:ind w:firstLine="411" w:firstLineChars="196"/>
        <w:rPr>
          <w:rFonts w:ascii="宋体" w:hAnsi="宋体"/>
        </w:rPr>
      </w:pPr>
    </w:p>
    <w:p>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420" w:firstLineChars="200"/>
        <w:rPr>
          <w:rFonts w:ascii="宋体" w:hAnsi="宋体"/>
          <w:szCs w:val="21"/>
        </w:rPr>
      </w:pPr>
    </w:p>
    <w:p>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软件和信息技术服务业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pPr>
        <w:widowControl/>
        <w:spacing w:line="360" w:lineRule="auto"/>
        <w:ind w:firstLine="371" w:firstLineChars="177"/>
        <w:jc w:val="left"/>
        <w:rPr>
          <w:rFonts w:cs="仿宋" w:asciiTheme="minorEastAsia" w:hAnsiTheme="minorEastAsia" w:eastAsiaTheme="minorEastAsia"/>
          <w:szCs w:val="21"/>
        </w:rPr>
      </w:pPr>
      <w:r>
        <w:rPr>
          <w:rFonts w:hint="eastAsia" w:ascii="宋体"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w:t>
      </w:r>
      <w:r>
        <w:rPr>
          <w:rFonts w:asciiTheme="minorEastAsia" w:hAnsiTheme="minorEastAsia" w:eastAsiaTheme="minorEastAsia"/>
          <w:b/>
        </w:rPr>
        <w:t xml:space="preserve">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r>
        <w:rPr>
          <w:rFonts w:hint="eastAsia" w:ascii="宋体" w:hAnsi="宋体"/>
        </w:rPr>
        <w:t>，用扣除后的价格参与评审</w:t>
      </w:r>
      <w:r>
        <w:rPr>
          <w:rFonts w:hint="eastAsia" w:asciiTheme="minorEastAsia" w:hAnsiTheme="minorEastAsia" w:eastAsiaTheme="minorEastAsia"/>
        </w:rPr>
        <w:t>。如联合体各方均为小型、微型企业，联合体视同为小型、微型企业，享受</w:t>
      </w:r>
      <w:r>
        <w:rPr>
          <w:rFonts w:hint="eastAsia" w:asciiTheme="minorEastAsia" w:hAnsiTheme="minorEastAsia" w:eastAsiaTheme="minorEastAsia"/>
          <w:b/>
        </w:rPr>
        <w:t>第（1）项</w:t>
      </w:r>
      <w:r>
        <w:rPr>
          <w:rFonts w:hint="eastAsia" w:asciiTheme="minorEastAsia" w:hAnsiTheme="minorEastAsia" w:eastAsiaTheme="minorEastAsia"/>
        </w:rPr>
        <w:t>的评审优惠。</w:t>
      </w:r>
    </w:p>
    <w:p>
      <w:pPr>
        <w:spacing w:after="60" w:line="360" w:lineRule="auto"/>
        <w:ind w:firstLine="424" w:firstLineChars="202"/>
        <w:rPr>
          <w:rFonts w:ascii="宋体" w:hAnsi="宋体"/>
        </w:rPr>
      </w:pPr>
      <w:r>
        <w:rPr>
          <w:rFonts w:hint="eastAsia" w:ascii="宋体" w:hAnsi="宋体"/>
        </w:rPr>
        <w:t>（3）分包意向协议约定，小型、微型企业的协议合同金额占到合同总金额30%以上的，可给予投标人</w:t>
      </w:r>
      <w:r>
        <w:rPr>
          <w:rFonts w:hint="eastAsia" w:ascii="宋体" w:hAnsi="宋体"/>
          <w:b/>
          <w:u w:val="single"/>
        </w:rPr>
        <w:t xml:space="preserve">  </w:t>
      </w:r>
      <w:r>
        <w:rPr>
          <w:rFonts w:hint="eastAsia" w:asciiTheme="minorEastAsia" w:hAnsiTheme="minorEastAsia" w:eastAsiaTheme="minorEastAsia"/>
          <w:b/>
          <w:u w:val="single"/>
        </w:rPr>
        <w:t xml:space="preserve">/  </w:t>
      </w:r>
      <w:r>
        <w:rPr>
          <w:rFonts w:hint="eastAsia" w:asciiTheme="minorEastAsia" w:hAnsiTheme="minorEastAsia" w:eastAsiaTheme="minorEastAsia"/>
          <w:b/>
        </w:rPr>
        <w:t>%</w:t>
      </w:r>
      <w:r>
        <w:rPr>
          <w:rFonts w:asciiTheme="minorEastAsia" w:hAnsiTheme="minorEastAsia" w:eastAsiaTheme="minorEastAsia"/>
          <w:b/>
        </w:rPr>
        <w:t xml:space="preserve">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r>
        <w:rPr>
          <w:rFonts w:hint="eastAsia" w:ascii="宋体" w:hAnsi="宋体"/>
        </w:rPr>
        <w:t>，用扣除后的价格参与评审。</w:t>
      </w:r>
    </w:p>
    <w:p>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pPr>
        <w:spacing w:line="360" w:lineRule="auto"/>
        <w:ind w:firstLine="422" w:firstLineChars="200"/>
        <w:rPr>
          <w:rFonts w:asciiTheme="minorEastAsia" w:hAnsiTheme="minorEastAsia" w:eastAsiaTheme="minorEastAsia"/>
          <w:b/>
          <w:szCs w:val="21"/>
        </w:rPr>
      </w:pPr>
    </w:p>
    <w:p>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ascii="Times New Roman" w:hAnsi="Times New Roman"/>
          <w:b/>
          <w:szCs w:val="24"/>
        </w:rPr>
        <w:t>绿色采购</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szCs w:val="24"/>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pPr>
        <w:spacing w:line="360" w:lineRule="auto"/>
        <w:rPr>
          <w:rFonts w:ascii="Times New Roman" w:hAnsi="Times New Roman"/>
          <w:b/>
          <w:bCs/>
          <w:sz w:val="24"/>
          <w:szCs w:val="24"/>
        </w:rPr>
      </w:pPr>
    </w:p>
    <w:p>
      <w:pPr>
        <w:spacing w:line="360" w:lineRule="auto"/>
        <w:ind w:firstLine="422" w:firstLineChars="200"/>
        <w:rPr>
          <w:rFonts w:ascii="宋体" w:hAnsi="宋体"/>
          <w:b/>
          <w:szCs w:val="21"/>
        </w:rPr>
      </w:pPr>
      <w:r>
        <w:rPr>
          <w:rFonts w:hint="eastAsia" w:asciiTheme="minorEastAsia" w:hAnsiTheme="minorEastAsia" w:eastAsiaTheme="minorEastAsia"/>
          <w:b/>
          <w:szCs w:val="21"/>
        </w:rPr>
        <w:t>五、</w:t>
      </w:r>
      <w:r>
        <w:rPr>
          <w:rFonts w:hint="eastAsia" w:ascii="Times New Roman" w:hAnsi="Times New Roman"/>
          <w:b/>
          <w:szCs w:val="24"/>
        </w:rPr>
        <w:t>其他说明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p>
    <w:p>
      <w:pPr>
        <w:widowControl/>
        <w:jc w:val="left"/>
        <w:rPr>
          <w:rFonts w:ascii="宋体" w:hAnsi="宋体" w:eastAsia="黑体"/>
          <w:b/>
          <w:bCs/>
          <w:kern w:val="44"/>
          <w:sz w:val="28"/>
          <w:szCs w:val="44"/>
        </w:rPr>
      </w:pPr>
      <w:r>
        <w:rPr>
          <w:rFonts w:ascii="宋体" w:hAnsi="宋体" w:eastAsia="黑体"/>
          <w:b/>
          <w:bCs/>
          <w:kern w:val="44"/>
          <w:sz w:val="28"/>
          <w:szCs w:val="44"/>
        </w:rPr>
        <w:br w:type="page"/>
      </w:r>
    </w:p>
    <w:p>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pPr>
        <w:rPr>
          <w:rFonts w:ascii="Times New Roman" w:hAnsi="Times New Roman"/>
          <w:b/>
          <w:sz w:val="24"/>
          <w:szCs w:val="24"/>
        </w:rPr>
      </w:pPr>
      <w:r>
        <w:rPr>
          <w:rFonts w:hint="eastAsia" w:ascii="Times New Roman" w:hAnsi="Times New Roman"/>
          <w:b/>
          <w:sz w:val="24"/>
          <w:szCs w:val="24"/>
        </w:rPr>
        <w:t>第一册  专用条款</w:t>
      </w:r>
    </w:p>
    <w:p>
      <w:pPr>
        <w:ind w:left="630" w:leftChars="300" w:firstLine="411" w:firstLineChars="196"/>
        <w:rPr>
          <w:rFonts w:ascii="宋体" w:hAnsi="宋体"/>
          <w:szCs w:val="21"/>
        </w:rPr>
      </w:pPr>
      <w:r>
        <w:rPr>
          <w:rFonts w:hint="eastAsia" w:ascii="宋体" w:hAnsi="宋体"/>
          <w:szCs w:val="21"/>
        </w:rPr>
        <w:t>关键信息</w:t>
      </w:r>
    </w:p>
    <w:p>
      <w:pPr>
        <w:ind w:left="630" w:leftChars="300" w:firstLine="411" w:firstLineChars="196"/>
        <w:rPr>
          <w:rFonts w:ascii="宋体" w:hAnsi="宋体"/>
          <w:szCs w:val="21"/>
        </w:rPr>
      </w:pPr>
      <w:r>
        <w:rPr>
          <w:rFonts w:hint="eastAsia" w:ascii="宋体" w:hAnsi="宋体"/>
          <w:szCs w:val="21"/>
        </w:rPr>
        <w:t>第一章  招标公告</w:t>
      </w:r>
    </w:p>
    <w:p>
      <w:pPr>
        <w:ind w:left="630" w:leftChars="300" w:firstLine="411" w:firstLineChars="196"/>
        <w:rPr>
          <w:rFonts w:ascii="宋体" w:hAnsi="宋体"/>
          <w:szCs w:val="21"/>
        </w:rPr>
      </w:pPr>
      <w:r>
        <w:rPr>
          <w:rFonts w:hint="eastAsia" w:ascii="宋体" w:hAnsi="宋体"/>
          <w:szCs w:val="21"/>
        </w:rPr>
        <w:t>第二章  招标项目需求</w:t>
      </w:r>
    </w:p>
    <w:p>
      <w:pPr>
        <w:ind w:left="630" w:leftChars="300" w:firstLine="411" w:firstLineChars="196"/>
        <w:rPr>
          <w:rFonts w:ascii="宋体" w:hAnsi="宋体"/>
          <w:szCs w:val="21"/>
        </w:rPr>
      </w:pPr>
      <w:r>
        <w:rPr>
          <w:rFonts w:hint="eastAsia" w:ascii="宋体" w:hAnsi="宋体"/>
          <w:szCs w:val="21"/>
        </w:rPr>
        <w:t>第三章  投标文件格式、附件</w:t>
      </w:r>
    </w:p>
    <w:p>
      <w:pPr>
        <w:ind w:left="630" w:leftChars="300" w:firstLine="411" w:firstLineChars="196"/>
        <w:rPr>
          <w:rFonts w:ascii="宋体" w:hAnsi="宋体"/>
          <w:szCs w:val="21"/>
        </w:rPr>
      </w:pPr>
      <w:r>
        <w:rPr>
          <w:rFonts w:hint="eastAsia" w:ascii="宋体" w:hAnsi="宋体"/>
          <w:szCs w:val="21"/>
        </w:rPr>
        <w:t>第四章  合同及履约情况反馈格式</w:t>
      </w:r>
    </w:p>
    <w:p>
      <w:pPr>
        <w:ind w:left="630" w:leftChars="300" w:firstLine="411" w:firstLineChars="196"/>
        <w:rPr>
          <w:rFonts w:ascii="宋体" w:hAnsi="宋体"/>
          <w:szCs w:val="21"/>
        </w:rPr>
      </w:pPr>
      <w:r>
        <w:rPr>
          <w:rFonts w:hint="eastAsia" w:ascii="宋体" w:hAnsi="宋体"/>
          <w:szCs w:val="21"/>
        </w:rPr>
        <w:t>第五章  附件</w:t>
      </w:r>
    </w:p>
    <w:p>
      <w:pPr>
        <w:ind w:left="630" w:leftChars="300" w:firstLine="411" w:firstLineChars="196"/>
        <w:rPr>
          <w:rFonts w:ascii="宋体" w:hAnsi="宋体"/>
          <w:szCs w:val="21"/>
        </w:rPr>
      </w:pPr>
    </w:p>
    <w:p>
      <w:pPr>
        <w:rPr>
          <w:rFonts w:ascii="Times New Roman" w:hAnsi="Times New Roman"/>
          <w:b/>
          <w:sz w:val="24"/>
          <w:szCs w:val="24"/>
        </w:rPr>
      </w:pPr>
    </w:p>
    <w:p>
      <w:pPr>
        <w:rPr>
          <w:rFonts w:ascii="Times New Roman" w:hAnsi="Times New Roman"/>
          <w:b/>
          <w:sz w:val="24"/>
          <w:szCs w:val="24"/>
        </w:rPr>
      </w:pPr>
      <w:r>
        <w:rPr>
          <w:rFonts w:hint="eastAsia" w:ascii="Times New Roman" w:hAnsi="Times New Roman"/>
          <w:b/>
          <w:sz w:val="24"/>
          <w:szCs w:val="24"/>
        </w:rPr>
        <w:t>第二册  通用条款</w:t>
      </w:r>
    </w:p>
    <w:p>
      <w:pPr>
        <w:ind w:left="630" w:leftChars="300" w:firstLine="411" w:firstLineChars="196"/>
        <w:rPr>
          <w:rFonts w:ascii="宋体" w:hAnsi="宋体"/>
          <w:szCs w:val="21"/>
        </w:rPr>
      </w:pPr>
      <w:r>
        <w:rPr>
          <w:rFonts w:hint="eastAsia" w:ascii="宋体" w:hAnsi="宋体"/>
          <w:szCs w:val="21"/>
        </w:rPr>
        <w:t>第一章  总则</w:t>
      </w:r>
    </w:p>
    <w:p>
      <w:pPr>
        <w:ind w:left="630" w:leftChars="300" w:firstLine="411" w:firstLineChars="196"/>
        <w:rPr>
          <w:rFonts w:ascii="宋体" w:hAnsi="宋体"/>
          <w:szCs w:val="21"/>
        </w:rPr>
      </w:pPr>
      <w:r>
        <w:rPr>
          <w:rFonts w:hint="eastAsia" w:ascii="宋体" w:hAnsi="宋体"/>
          <w:szCs w:val="21"/>
        </w:rPr>
        <w:t>第二章  招标文件</w:t>
      </w:r>
    </w:p>
    <w:p>
      <w:pPr>
        <w:ind w:left="630" w:leftChars="300" w:firstLine="411" w:firstLineChars="196"/>
        <w:rPr>
          <w:rFonts w:ascii="宋体" w:hAnsi="宋体"/>
          <w:szCs w:val="21"/>
        </w:rPr>
      </w:pPr>
      <w:r>
        <w:rPr>
          <w:rFonts w:hint="eastAsia" w:ascii="宋体" w:hAnsi="宋体"/>
          <w:szCs w:val="21"/>
        </w:rPr>
        <w:t>第三章  投标文件的编制</w:t>
      </w:r>
    </w:p>
    <w:p>
      <w:pPr>
        <w:ind w:left="630" w:leftChars="300" w:firstLine="411" w:firstLineChars="196"/>
        <w:rPr>
          <w:rFonts w:ascii="宋体" w:hAnsi="宋体"/>
          <w:szCs w:val="21"/>
        </w:rPr>
      </w:pPr>
      <w:r>
        <w:rPr>
          <w:rFonts w:hint="eastAsia" w:ascii="宋体" w:hAnsi="宋体"/>
          <w:szCs w:val="21"/>
        </w:rPr>
        <w:t>第四章  投标文件的递交</w:t>
      </w:r>
    </w:p>
    <w:p>
      <w:pPr>
        <w:ind w:left="630" w:leftChars="300" w:firstLine="411" w:firstLineChars="196"/>
        <w:rPr>
          <w:rFonts w:ascii="宋体" w:hAnsi="宋体"/>
          <w:szCs w:val="21"/>
        </w:rPr>
      </w:pPr>
      <w:r>
        <w:rPr>
          <w:rFonts w:hint="eastAsia" w:ascii="宋体" w:hAnsi="宋体"/>
          <w:szCs w:val="21"/>
        </w:rPr>
        <w:t>第五章  开标</w:t>
      </w:r>
    </w:p>
    <w:p>
      <w:pPr>
        <w:ind w:left="630" w:leftChars="300" w:firstLine="411" w:firstLineChars="196"/>
        <w:rPr>
          <w:rFonts w:ascii="宋体" w:hAnsi="宋体"/>
          <w:szCs w:val="21"/>
        </w:rPr>
      </w:pPr>
      <w:r>
        <w:rPr>
          <w:rFonts w:hint="eastAsia" w:ascii="宋体" w:hAnsi="宋体"/>
          <w:szCs w:val="21"/>
        </w:rPr>
        <w:t>第六章  评标要求</w:t>
      </w:r>
    </w:p>
    <w:p>
      <w:pPr>
        <w:ind w:left="630" w:leftChars="300" w:firstLine="411" w:firstLineChars="196"/>
        <w:rPr>
          <w:rFonts w:ascii="宋体" w:hAnsi="宋体"/>
          <w:szCs w:val="21"/>
        </w:rPr>
      </w:pPr>
      <w:r>
        <w:rPr>
          <w:rFonts w:hint="eastAsia" w:ascii="宋体" w:hAnsi="宋体"/>
          <w:szCs w:val="21"/>
        </w:rPr>
        <w:t>第七章  评标程序及评标方法</w:t>
      </w:r>
    </w:p>
    <w:p>
      <w:pPr>
        <w:ind w:left="630" w:leftChars="300" w:firstLine="411" w:firstLineChars="196"/>
        <w:rPr>
          <w:rFonts w:ascii="宋体" w:hAnsi="宋体"/>
          <w:szCs w:val="21"/>
        </w:rPr>
      </w:pPr>
      <w:r>
        <w:rPr>
          <w:rFonts w:hint="eastAsia" w:ascii="宋体" w:hAnsi="宋体"/>
          <w:szCs w:val="21"/>
        </w:rPr>
        <w:t>第八章  定标及公示</w:t>
      </w:r>
    </w:p>
    <w:p>
      <w:pPr>
        <w:ind w:left="630" w:leftChars="300" w:firstLine="411" w:firstLineChars="196"/>
        <w:rPr>
          <w:rFonts w:ascii="宋体" w:hAnsi="宋体"/>
          <w:szCs w:val="21"/>
        </w:rPr>
      </w:pPr>
      <w:r>
        <w:rPr>
          <w:rFonts w:hint="eastAsia" w:ascii="宋体" w:hAnsi="宋体"/>
          <w:szCs w:val="21"/>
        </w:rPr>
        <w:t>第九章  公开招标失败的后续处理</w:t>
      </w:r>
    </w:p>
    <w:p>
      <w:pPr>
        <w:ind w:left="630" w:leftChars="300" w:firstLine="411" w:firstLineChars="196"/>
        <w:rPr>
          <w:rFonts w:ascii="宋体" w:hAnsi="宋体"/>
          <w:szCs w:val="21"/>
        </w:rPr>
      </w:pPr>
      <w:r>
        <w:rPr>
          <w:rFonts w:hint="eastAsia" w:ascii="宋体" w:hAnsi="宋体"/>
          <w:szCs w:val="21"/>
        </w:rPr>
        <w:t>第十章  合同的授予与备案</w:t>
      </w:r>
    </w:p>
    <w:p>
      <w:pPr>
        <w:ind w:left="630" w:leftChars="300" w:firstLine="411" w:firstLineChars="196"/>
        <w:rPr>
          <w:rFonts w:ascii="宋体" w:hAnsi="宋体"/>
          <w:szCs w:val="21"/>
        </w:rPr>
      </w:pPr>
      <w:r>
        <w:rPr>
          <w:rFonts w:hint="eastAsia" w:ascii="宋体" w:hAnsi="宋体"/>
          <w:szCs w:val="21"/>
        </w:rPr>
        <w:t>第十一章  质疑处理</w:t>
      </w:r>
    </w:p>
    <w:p>
      <w:pPr>
        <w:rPr>
          <w:rFonts w:ascii="Times New Roman" w:hAnsi="Times New Roman"/>
          <w:sz w:val="24"/>
          <w:szCs w:val="24"/>
        </w:rPr>
      </w:pPr>
    </w:p>
    <w:p>
      <w:pPr>
        <w:rPr>
          <w:rFonts w:ascii="Times New Roman" w:hAnsi="Times New Roman"/>
          <w:b/>
          <w:szCs w:val="24"/>
        </w:rPr>
      </w:pPr>
      <w:r>
        <w:rPr>
          <w:rFonts w:hint="eastAsia" w:ascii="Times New Roman" w:hAnsi="Times New Roman"/>
          <w:b/>
          <w:szCs w:val="24"/>
        </w:rPr>
        <w:t>备注：</w:t>
      </w:r>
    </w:p>
    <w:p>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pPr>
        <w:rPr>
          <w:rFonts w:ascii="宋体" w:hAnsi="宋体"/>
          <w:szCs w:val="21"/>
        </w:rPr>
      </w:pPr>
    </w:p>
    <w:p>
      <w:pPr>
        <w:widowControl/>
        <w:jc w:val="left"/>
        <w:rPr>
          <w:rFonts w:ascii="宋体" w:hAnsi="宋体" w:eastAsia="黑体"/>
          <w:b/>
          <w:bCs/>
          <w:kern w:val="44"/>
          <w:sz w:val="28"/>
          <w:szCs w:val="44"/>
        </w:rPr>
      </w:pPr>
      <w:r>
        <w:rPr>
          <w:rFonts w:ascii="Times New Roman" w:hAnsi="Times New Roman"/>
          <w:szCs w:val="24"/>
        </w:rPr>
        <w:br w:type="page"/>
      </w:r>
    </w:p>
    <w:p>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pPr>
        <w:spacing w:line="360" w:lineRule="exact"/>
        <w:rPr>
          <w:rFonts w:ascii="宋体" w:hAnsi="宋体"/>
          <w:vanish/>
          <w:szCs w:val="21"/>
        </w:rPr>
      </w:pPr>
    </w:p>
    <w:p>
      <w:pPr>
        <w:widowControl/>
        <w:spacing w:line="360" w:lineRule="exact"/>
        <w:rPr>
          <w:rFonts w:ascii="宋体" w:hAnsi="宋体"/>
          <w:szCs w:val="24"/>
        </w:rPr>
      </w:pPr>
      <w:bookmarkStart w:id="0" w:name="OLE_LINK1"/>
      <w:bookmarkStart w:id="1" w:name="OLE_LINK2"/>
      <w:r>
        <w:rPr>
          <w:rFonts w:ascii="宋体" w:hAnsi="宋体"/>
          <w:szCs w:val="24"/>
        </w:rPr>
        <w:t>项目概况</w:t>
      </w:r>
      <w:r>
        <w:rPr>
          <w:rFonts w:hint="eastAsia" w:ascii="宋体" w:hAnsi="宋体"/>
          <w:szCs w:val="24"/>
        </w:rPr>
        <w:t>:</w:t>
      </w:r>
    </w:p>
    <w:p>
      <w:pPr>
        <w:widowControl/>
        <w:spacing w:line="360" w:lineRule="exact"/>
        <w:ind w:firstLine="424" w:firstLineChars="202"/>
        <w:rPr>
          <w:rFonts w:ascii="宋体" w:hAnsi="宋体"/>
          <w:szCs w:val="24"/>
        </w:rPr>
      </w:pPr>
      <w:r>
        <w:rPr>
          <w:rFonts w:hint="eastAsia" w:asciiTheme="minorEastAsia" w:hAnsiTheme="minorEastAsia" w:eastAsiaTheme="minorEastAsia"/>
          <w:szCs w:val="24"/>
        </w:rPr>
        <w:t>地铁5号线警用通信系统运维项目招标项目</w:t>
      </w:r>
      <w:r>
        <w:rPr>
          <w:rFonts w:ascii="宋体" w:hAnsi="宋体"/>
          <w:szCs w:val="24"/>
        </w:rPr>
        <w:t xml:space="preserve">的潜在投标人应在（本公告附件中）获取招标文件，并于 </w:t>
      </w:r>
      <w:r>
        <w:rPr>
          <w:rFonts w:ascii="宋体" w:hAnsi="宋体"/>
          <w:b/>
          <w:szCs w:val="24"/>
          <w:u w:val="single"/>
        </w:rPr>
        <w:t>2024年</w:t>
      </w:r>
      <w:r>
        <w:rPr>
          <w:rFonts w:hint="eastAsia" w:ascii="宋体" w:hAnsi="宋体"/>
          <w:b/>
          <w:szCs w:val="24"/>
          <w:u w:val="single"/>
          <w:lang w:val="en-US" w:eastAsia="zh-CN"/>
        </w:rPr>
        <w:t>07</w:t>
      </w:r>
      <w:r>
        <w:rPr>
          <w:rFonts w:ascii="宋体" w:hAnsi="宋体"/>
          <w:b/>
          <w:szCs w:val="24"/>
          <w:u w:val="single"/>
        </w:rPr>
        <w:t>月</w:t>
      </w:r>
      <w:r>
        <w:rPr>
          <w:rFonts w:hint="eastAsia" w:ascii="宋体" w:hAnsi="宋体"/>
          <w:b/>
          <w:szCs w:val="24"/>
          <w:u w:val="single"/>
          <w:lang w:val="en-US" w:eastAsia="zh-CN"/>
        </w:rPr>
        <w:t>19</w:t>
      </w:r>
      <w:r>
        <w:rPr>
          <w:rFonts w:ascii="宋体" w:hAnsi="宋体"/>
          <w:b/>
          <w:szCs w:val="24"/>
          <w:u w:val="single"/>
        </w:rPr>
        <w:t>日</w:t>
      </w:r>
      <w:r>
        <w:rPr>
          <w:rFonts w:hint="eastAsia" w:ascii="宋体" w:hAnsi="宋体"/>
          <w:b/>
          <w:szCs w:val="24"/>
          <w:u w:val="single"/>
        </w:rPr>
        <w:t>14:00</w:t>
      </w:r>
      <w:r>
        <w:rPr>
          <w:rFonts w:ascii="宋体" w:hAnsi="宋体"/>
          <w:b/>
          <w:szCs w:val="24"/>
          <w:u w:val="single"/>
        </w:rPr>
        <w:t>（北京时间）</w:t>
      </w:r>
      <w:r>
        <w:rPr>
          <w:rFonts w:ascii="宋体" w:hAnsi="宋体"/>
          <w:szCs w:val="24"/>
        </w:rPr>
        <w:t xml:space="preserve">前递交投标文件。 </w:t>
      </w:r>
    </w:p>
    <w:p>
      <w:pPr>
        <w:widowControl/>
        <w:spacing w:line="360" w:lineRule="exact"/>
        <w:rPr>
          <w:rFonts w:ascii="宋体" w:hAnsi="宋体"/>
          <w:szCs w:val="24"/>
        </w:rPr>
      </w:pPr>
    </w:p>
    <w:p>
      <w:pPr>
        <w:widowControl/>
        <w:spacing w:line="360" w:lineRule="exact"/>
        <w:rPr>
          <w:rFonts w:ascii="宋体" w:hAnsi="宋体"/>
          <w:szCs w:val="24"/>
        </w:rPr>
      </w:pPr>
      <w:r>
        <w:rPr>
          <w:rFonts w:ascii="宋体" w:hAnsi="宋体"/>
          <w:szCs w:val="24"/>
        </w:rPr>
        <w:t>一、项目基本情况</w:t>
      </w:r>
    </w:p>
    <w:p>
      <w:pPr>
        <w:widowControl/>
        <w:spacing w:line="360" w:lineRule="exact"/>
        <w:ind w:firstLine="424" w:firstLineChars="202"/>
        <w:rPr>
          <w:rFonts w:hint="eastAsia" w:ascii="宋体" w:hAnsi="宋体" w:eastAsia="宋体"/>
          <w:szCs w:val="21"/>
          <w:lang w:eastAsia="zh-CN"/>
        </w:rPr>
      </w:pPr>
      <w:r>
        <w:rPr>
          <w:rFonts w:ascii="宋体" w:hAnsi="宋体"/>
          <w:szCs w:val="21"/>
        </w:rPr>
        <w:t>1</w:t>
      </w:r>
      <w:r>
        <w:rPr>
          <w:rFonts w:hint="eastAsia" w:ascii="宋体" w:hAnsi="宋体"/>
          <w:szCs w:val="21"/>
        </w:rPr>
        <w:t>、</w:t>
      </w:r>
      <w:r>
        <w:rPr>
          <w:rFonts w:ascii="宋体" w:hAnsi="宋体"/>
          <w:szCs w:val="21"/>
        </w:rPr>
        <w:t>项目编号：</w:t>
      </w:r>
      <w:r>
        <w:rPr>
          <w:rFonts w:hint="eastAsia" w:ascii="宋体" w:hAnsi="宋体"/>
          <w:szCs w:val="21"/>
          <w:lang w:eastAsia="zh-CN"/>
        </w:rPr>
        <w:t>SZDL2024001380</w:t>
      </w:r>
    </w:p>
    <w:p>
      <w:pPr>
        <w:widowControl/>
        <w:spacing w:line="360" w:lineRule="exact"/>
        <w:ind w:firstLine="424" w:firstLineChars="202"/>
        <w:rPr>
          <w:rFonts w:ascii="宋体" w:hAnsi="宋体"/>
          <w:szCs w:val="21"/>
        </w:rPr>
      </w:pPr>
      <w:r>
        <w:rPr>
          <w:rFonts w:ascii="宋体" w:hAnsi="宋体"/>
          <w:szCs w:val="21"/>
        </w:rPr>
        <w:t>2</w:t>
      </w:r>
      <w:r>
        <w:rPr>
          <w:rFonts w:hint="eastAsia" w:ascii="宋体" w:hAnsi="宋体"/>
          <w:szCs w:val="21"/>
        </w:rPr>
        <w:t>、</w:t>
      </w:r>
      <w:r>
        <w:rPr>
          <w:rFonts w:ascii="宋体" w:hAnsi="宋体"/>
          <w:szCs w:val="21"/>
        </w:rPr>
        <w:t>项目名称：</w:t>
      </w:r>
      <w:r>
        <w:rPr>
          <w:rFonts w:hint="eastAsia" w:ascii="宋体" w:hAnsi="宋体"/>
          <w:szCs w:val="21"/>
        </w:rPr>
        <w:t>地铁5号线警用通信系统运维项目</w:t>
      </w:r>
    </w:p>
    <w:p>
      <w:pPr>
        <w:widowControl/>
        <w:spacing w:line="360" w:lineRule="exact"/>
        <w:ind w:firstLine="424" w:firstLineChars="202"/>
        <w:rPr>
          <w:rFonts w:ascii="宋体" w:hAnsi="宋体"/>
          <w:szCs w:val="21"/>
        </w:rPr>
      </w:pPr>
      <w:r>
        <w:rPr>
          <w:rFonts w:ascii="宋体" w:hAnsi="宋体"/>
          <w:szCs w:val="21"/>
        </w:rPr>
        <w:t>3</w:t>
      </w:r>
      <w:r>
        <w:rPr>
          <w:rFonts w:hint="eastAsia" w:ascii="宋体" w:hAnsi="宋体"/>
          <w:szCs w:val="21"/>
        </w:rPr>
        <w:t>、</w:t>
      </w:r>
      <w:r>
        <w:rPr>
          <w:rFonts w:ascii="宋体" w:hAnsi="宋体"/>
          <w:szCs w:val="21"/>
        </w:rPr>
        <w:t>预算金额：</w:t>
      </w:r>
      <w:r>
        <w:rPr>
          <w:rFonts w:hint="eastAsia" w:ascii="宋体" w:hAnsi="宋体"/>
          <w:szCs w:val="21"/>
        </w:rPr>
        <w:t>人民币1,095,630.63</w:t>
      </w:r>
      <w:r>
        <w:rPr>
          <w:rFonts w:ascii="宋体" w:hAnsi="宋体"/>
          <w:szCs w:val="21"/>
        </w:rPr>
        <w:t>元</w:t>
      </w:r>
    </w:p>
    <w:p>
      <w:pPr>
        <w:widowControl/>
        <w:spacing w:line="360" w:lineRule="exact"/>
        <w:ind w:firstLine="424" w:firstLineChars="202"/>
        <w:rPr>
          <w:rFonts w:ascii="宋体" w:hAnsi="宋体"/>
          <w:szCs w:val="21"/>
        </w:rPr>
      </w:pPr>
      <w:r>
        <w:rPr>
          <w:rFonts w:ascii="宋体" w:hAnsi="宋体"/>
          <w:szCs w:val="21"/>
        </w:rPr>
        <w:t>4</w:t>
      </w:r>
      <w:r>
        <w:rPr>
          <w:rFonts w:hint="eastAsia" w:ascii="宋体" w:hAnsi="宋体"/>
          <w:szCs w:val="21"/>
        </w:rPr>
        <w:t>、</w:t>
      </w:r>
      <w:r>
        <w:rPr>
          <w:rFonts w:ascii="宋体" w:hAnsi="宋体"/>
          <w:szCs w:val="21"/>
        </w:rPr>
        <w:t>最高限价：</w:t>
      </w:r>
      <w:r>
        <w:rPr>
          <w:rFonts w:hint="eastAsia" w:ascii="宋体" w:hAnsi="宋体"/>
          <w:szCs w:val="21"/>
        </w:rPr>
        <w:t>人民币1,095,630.63</w:t>
      </w:r>
      <w:r>
        <w:rPr>
          <w:rFonts w:ascii="宋体" w:hAnsi="宋体"/>
          <w:szCs w:val="21"/>
        </w:rPr>
        <w:t>元</w:t>
      </w:r>
    </w:p>
    <w:p>
      <w:pPr>
        <w:widowControl/>
        <w:spacing w:line="360" w:lineRule="exact"/>
        <w:ind w:firstLine="424" w:firstLineChars="202"/>
        <w:rPr>
          <w:rFonts w:ascii="宋体" w:hAnsi="宋体"/>
          <w:szCs w:val="21"/>
        </w:rPr>
      </w:pPr>
      <w:r>
        <w:rPr>
          <w:rFonts w:ascii="宋体" w:hAnsi="宋体"/>
          <w:szCs w:val="21"/>
        </w:rPr>
        <w:t>5</w:t>
      </w:r>
      <w:r>
        <w:rPr>
          <w:rFonts w:hint="eastAsia" w:ascii="宋体" w:hAnsi="宋体"/>
          <w:szCs w:val="21"/>
        </w:rPr>
        <w:t>、</w:t>
      </w:r>
      <w:r>
        <w:rPr>
          <w:rFonts w:ascii="宋体" w:hAnsi="宋体"/>
          <w:szCs w:val="21"/>
        </w:rPr>
        <w:t>采购需求：</w:t>
      </w:r>
    </w:p>
    <w:tbl>
      <w:tblPr>
        <w:tblStyle w:val="43"/>
        <w:tblW w:w="9530" w:type="dxa"/>
        <w:tblInd w:w="-256"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3577"/>
        <w:gridCol w:w="850"/>
        <w:gridCol w:w="992"/>
        <w:gridCol w:w="2694"/>
        <w:gridCol w:w="1417"/>
      </w:tblGrid>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577" w:type="dxa"/>
            <w:tcBorders>
              <w:top w:val="outset" w:color="AAAAAA" w:sz="6" w:space="0"/>
              <w:left w:val="outset" w:color="AAAAAA" w:sz="6" w:space="0"/>
              <w:bottom w:val="outset" w:color="AAAAAA" w:sz="6" w:space="0"/>
              <w:right w:val="outset" w:color="AAAAAA" w:sz="6" w:space="0"/>
            </w:tcBorders>
            <w:shd w:val="clear" w:color="auto" w:fill="ABCDEF"/>
            <w:vAlign w:val="center"/>
          </w:tcPr>
          <w:p>
            <w:pPr>
              <w:widowControl/>
              <w:spacing w:line="360" w:lineRule="exact"/>
              <w:jc w:val="center"/>
              <w:rPr>
                <w:rFonts w:ascii="宋体" w:hAnsi="宋体" w:cs="宋体"/>
                <w:szCs w:val="21"/>
              </w:rPr>
            </w:pPr>
            <w:r>
              <w:rPr>
                <w:rFonts w:hint="eastAsia" w:ascii="宋体" w:hAnsi="宋体" w:cs="宋体"/>
                <w:szCs w:val="21"/>
              </w:rPr>
              <w:t>标的名称</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pPr>
              <w:widowControl/>
              <w:spacing w:line="360" w:lineRule="exact"/>
              <w:jc w:val="center"/>
              <w:rPr>
                <w:rFonts w:ascii="宋体" w:hAnsi="宋体" w:cs="宋体"/>
                <w:szCs w:val="21"/>
              </w:rPr>
            </w:pPr>
            <w:r>
              <w:rPr>
                <w:rFonts w:hint="eastAsia" w:ascii="宋体" w:hAnsi="宋体" w:cs="宋体"/>
                <w:szCs w:val="21"/>
              </w:rPr>
              <w:t>数量</w:t>
            </w:r>
          </w:p>
        </w:tc>
        <w:tc>
          <w:tcPr>
            <w:tcW w:w="992" w:type="dxa"/>
            <w:tcBorders>
              <w:top w:val="outset" w:color="AAAAAA" w:sz="6" w:space="0"/>
              <w:left w:val="outset" w:color="AAAAAA" w:sz="6" w:space="0"/>
              <w:bottom w:val="outset" w:color="AAAAAA" w:sz="6" w:space="0"/>
              <w:right w:val="outset" w:color="AAAAAA" w:sz="6" w:space="0"/>
            </w:tcBorders>
            <w:shd w:val="clear" w:color="auto" w:fill="ABCDEF"/>
            <w:vAlign w:val="center"/>
          </w:tcPr>
          <w:p>
            <w:pPr>
              <w:widowControl/>
              <w:spacing w:line="360" w:lineRule="exact"/>
              <w:jc w:val="center"/>
              <w:rPr>
                <w:rFonts w:ascii="宋体" w:hAnsi="宋体" w:cs="宋体"/>
                <w:szCs w:val="21"/>
              </w:rPr>
            </w:pPr>
            <w:r>
              <w:rPr>
                <w:rFonts w:hint="eastAsia" w:ascii="宋体" w:hAnsi="宋体" w:cs="宋体"/>
                <w:szCs w:val="21"/>
              </w:rPr>
              <w:t>单位</w:t>
            </w:r>
          </w:p>
        </w:tc>
        <w:tc>
          <w:tcPr>
            <w:tcW w:w="2694" w:type="dxa"/>
            <w:tcBorders>
              <w:top w:val="outset" w:color="AAAAAA" w:sz="6" w:space="0"/>
              <w:left w:val="outset" w:color="AAAAAA" w:sz="6" w:space="0"/>
              <w:bottom w:val="outset" w:color="AAAAAA" w:sz="6" w:space="0"/>
              <w:right w:val="outset" w:color="AAAAAA" w:sz="6" w:space="0"/>
            </w:tcBorders>
            <w:shd w:val="clear" w:color="auto" w:fill="ABCDEF"/>
            <w:vAlign w:val="center"/>
          </w:tcPr>
          <w:p>
            <w:pPr>
              <w:widowControl/>
              <w:spacing w:line="360" w:lineRule="exact"/>
              <w:jc w:val="center"/>
              <w:rPr>
                <w:rFonts w:ascii="宋体" w:hAnsi="宋体" w:cs="宋体"/>
                <w:szCs w:val="21"/>
              </w:rPr>
            </w:pPr>
            <w:r>
              <w:rPr>
                <w:rFonts w:hint="eastAsia" w:ascii="宋体" w:hAnsi="宋体" w:cs="宋体"/>
                <w:szCs w:val="21"/>
              </w:rPr>
              <w:t>简要技术需求或服务要求</w:t>
            </w:r>
          </w:p>
        </w:tc>
        <w:tc>
          <w:tcPr>
            <w:tcW w:w="1417" w:type="dxa"/>
            <w:tcBorders>
              <w:top w:val="outset" w:color="AAAAAA" w:sz="6" w:space="0"/>
              <w:left w:val="outset" w:color="AAAAAA" w:sz="6" w:space="0"/>
              <w:bottom w:val="outset" w:color="AAAAAA" w:sz="6" w:space="0"/>
              <w:right w:val="outset" w:color="AAAAAA" w:sz="6" w:space="0"/>
            </w:tcBorders>
            <w:shd w:val="clear" w:color="auto" w:fill="ABCDEF"/>
            <w:vAlign w:val="center"/>
          </w:tcPr>
          <w:p>
            <w:pPr>
              <w:widowControl/>
              <w:spacing w:line="360" w:lineRule="exact"/>
              <w:jc w:val="center"/>
              <w:rPr>
                <w:rFonts w:ascii="宋体" w:hAnsi="宋体" w:cs="宋体"/>
                <w:szCs w:val="21"/>
              </w:rPr>
            </w:pPr>
            <w:r>
              <w:rPr>
                <w:rFonts w:hint="eastAsia" w:ascii="宋体" w:hAnsi="宋体" w:cs="宋体"/>
                <w:szCs w:val="21"/>
              </w:rPr>
              <w:t>备注</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577" w:type="dxa"/>
            <w:tcBorders>
              <w:top w:val="outset" w:color="AAAAAA" w:sz="6" w:space="0"/>
              <w:left w:val="outset" w:color="AAAAAA" w:sz="6" w:space="0"/>
              <w:bottom w:val="outset" w:color="AAAAAA" w:sz="6" w:space="0"/>
              <w:right w:val="outset" w:color="AAAAAA" w:sz="6" w:space="0"/>
            </w:tcBorders>
            <w:shd w:val="clear" w:color="auto" w:fill="auto"/>
            <w:vAlign w:val="center"/>
          </w:tcPr>
          <w:p>
            <w:pPr>
              <w:widowControl/>
              <w:spacing w:line="360" w:lineRule="exact"/>
              <w:jc w:val="center"/>
              <w:rPr>
                <w:rFonts w:ascii="宋体" w:hAnsi="宋体" w:cs="宋体"/>
                <w:szCs w:val="21"/>
              </w:rPr>
            </w:pPr>
            <w:r>
              <w:rPr>
                <w:rFonts w:hint="eastAsia" w:ascii="宋体" w:hAnsi="宋体" w:cs="宋体"/>
                <w:szCs w:val="21"/>
              </w:rPr>
              <w:t>地铁5号线警用通信系统运维项目</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pPr>
              <w:spacing w:line="360" w:lineRule="exact"/>
              <w:jc w:val="center"/>
              <w:rPr>
                <w:rFonts w:ascii="宋体" w:hAnsi="宋体" w:cs="宋体"/>
                <w:szCs w:val="21"/>
              </w:rPr>
            </w:pPr>
            <w:r>
              <w:rPr>
                <w:rFonts w:hint="eastAsia" w:ascii="宋体" w:hAnsi="宋体" w:cs="宋体"/>
                <w:szCs w:val="21"/>
              </w:rPr>
              <w:t>1</w:t>
            </w:r>
          </w:p>
        </w:tc>
        <w:tc>
          <w:tcPr>
            <w:tcW w:w="992" w:type="dxa"/>
            <w:tcBorders>
              <w:top w:val="outset" w:color="AAAAAA" w:sz="6" w:space="0"/>
              <w:left w:val="outset" w:color="AAAAAA" w:sz="6" w:space="0"/>
              <w:bottom w:val="outset" w:color="AAAAAA" w:sz="6" w:space="0"/>
              <w:right w:val="outset" w:color="AAAAAA" w:sz="6" w:space="0"/>
            </w:tcBorders>
            <w:shd w:val="clear" w:color="auto" w:fill="auto"/>
            <w:vAlign w:val="center"/>
          </w:tcPr>
          <w:p>
            <w:pPr>
              <w:spacing w:line="360" w:lineRule="exact"/>
              <w:jc w:val="center"/>
              <w:rPr>
                <w:rFonts w:ascii="宋体" w:hAnsi="宋体" w:cs="宋体"/>
                <w:szCs w:val="21"/>
              </w:rPr>
            </w:pPr>
            <w:r>
              <w:rPr>
                <w:rFonts w:hint="eastAsia" w:ascii="宋体" w:hAnsi="宋体" w:cs="宋体"/>
                <w:szCs w:val="21"/>
              </w:rPr>
              <w:t>项</w:t>
            </w:r>
          </w:p>
        </w:tc>
        <w:tc>
          <w:tcPr>
            <w:tcW w:w="2694" w:type="dxa"/>
            <w:tcBorders>
              <w:top w:val="outset" w:color="AAAAAA" w:sz="6" w:space="0"/>
              <w:left w:val="outset" w:color="AAAAAA" w:sz="6" w:space="0"/>
              <w:bottom w:val="outset" w:color="AAAAAA" w:sz="6" w:space="0"/>
              <w:right w:val="outset" w:color="AAAAAA" w:sz="6" w:space="0"/>
            </w:tcBorders>
            <w:shd w:val="clear" w:color="auto" w:fill="auto"/>
            <w:vAlign w:val="center"/>
          </w:tcPr>
          <w:p>
            <w:pPr>
              <w:spacing w:line="360" w:lineRule="exact"/>
              <w:jc w:val="center"/>
              <w:rPr>
                <w:rFonts w:ascii="宋体" w:hAnsi="宋体" w:cs="宋体"/>
                <w:szCs w:val="21"/>
              </w:rPr>
            </w:pPr>
            <w:r>
              <w:rPr>
                <w:rFonts w:hint="eastAsia" w:ascii="宋体" w:hAnsi="宋体" w:cs="宋体"/>
                <w:szCs w:val="21"/>
              </w:rPr>
              <w:t>详见招标文件</w:t>
            </w:r>
          </w:p>
        </w:tc>
        <w:tc>
          <w:tcPr>
            <w:tcW w:w="1417" w:type="dxa"/>
            <w:tcBorders>
              <w:top w:val="outset" w:color="AAAAAA" w:sz="6" w:space="0"/>
              <w:left w:val="outset" w:color="AAAAAA" w:sz="6" w:space="0"/>
              <w:bottom w:val="outset" w:color="AAAAAA" w:sz="6" w:space="0"/>
              <w:right w:val="outset" w:color="AAAAAA" w:sz="6" w:space="0"/>
            </w:tcBorders>
            <w:shd w:val="clear" w:color="auto" w:fill="auto"/>
            <w:vAlign w:val="center"/>
          </w:tcPr>
          <w:p>
            <w:pPr>
              <w:widowControl/>
              <w:spacing w:line="360" w:lineRule="exact"/>
              <w:jc w:val="center"/>
              <w:rPr>
                <w:rFonts w:ascii="宋体" w:hAnsi="宋体" w:cs="宋体"/>
                <w:szCs w:val="21"/>
              </w:rPr>
            </w:pPr>
            <w:r>
              <w:rPr>
                <w:rFonts w:hint="eastAsia" w:ascii="宋体" w:hAnsi="宋体" w:cs="宋体"/>
                <w:szCs w:val="21"/>
              </w:rPr>
              <w:t>无</w:t>
            </w:r>
          </w:p>
        </w:tc>
      </w:tr>
    </w:tbl>
    <w:p>
      <w:pPr>
        <w:widowControl/>
        <w:spacing w:line="360" w:lineRule="exact"/>
        <w:ind w:firstLine="424" w:firstLineChars="202"/>
        <w:rPr>
          <w:rFonts w:ascii="宋体" w:hAnsi="宋体"/>
          <w:szCs w:val="21"/>
        </w:rPr>
      </w:pPr>
      <w:r>
        <w:rPr>
          <w:rFonts w:ascii="宋体" w:hAnsi="宋体"/>
          <w:szCs w:val="21"/>
        </w:rPr>
        <w:t>6</w:t>
      </w:r>
      <w:r>
        <w:rPr>
          <w:rFonts w:hint="eastAsia" w:ascii="宋体" w:hAnsi="宋体"/>
          <w:szCs w:val="21"/>
        </w:rPr>
        <w:t>、</w:t>
      </w:r>
      <w:r>
        <w:rPr>
          <w:rFonts w:ascii="宋体" w:hAnsi="宋体"/>
          <w:szCs w:val="21"/>
        </w:rPr>
        <w:t>合同履行期限：</w:t>
      </w:r>
      <w:r>
        <w:rPr>
          <w:rFonts w:hint="eastAsia" w:asciiTheme="minorEastAsia" w:hAnsiTheme="minorEastAsia" w:eastAsiaTheme="minorEastAsia"/>
          <w:szCs w:val="21"/>
        </w:rPr>
        <w:t>详见招标文件</w:t>
      </w:r>
    </w:p>
    <w:p>
      <w:pPr>
        <w:widowControl/>
        <w:spacing w:line="360" w:lineRule="exact"/>
        <w:ind w:firstLine="424" w:firstLineChars="202"/>
        <w:rPr>
          <w:rFonts w:ascii="宋体" w:hAnsi="宋体"/>
          <w:szCs w:val="21"/>
        </w:rPr>
      </w:pPr>
      <w:r>
        <w:rPr>
          <w:rFonts w:ascii="宋体" w:hAnsi="宋体"/>
          <w:szCs w:val="21"/>
        </w:rPr>
        <w:t>7</w:t>
      </w:r>
      <w:r>
        <w:rPr>
          <w:rFonts w:hint="eastAsia" w:ascii="宋体" w:hAnsi="宋体"/>
          <w:szCs w:val="21"/>
        </w:rPr>
        <w:t>、本项目（是/否）接受联合体投标：详见“申请人的资格要求”</w:t>
      </w:r>
    </w:p>
    <w:p>
      <w:pPr>
        <w:widowControl/>
        <w:spacing w:line="360" w:lineRule="exact"/>
        <w:rPr>
          <w:rFonts w:ascii="宋体" w:hAnsi="宋体"/>
          <w:szCs w:val="21"/>
        </w:rPr>
      </w:pPr>
    </w:p>
    <w:p>
      <w:pPr>
        <w:widowControl/>
        <w:spacing w:line="360" w:lineRule="exact"/>
        <w:rPr>
          <w:rFonts w:ascii="宋体" w:hAnsi="宋体"/>
          <w:szCs w:val="24"/>
        </w:rPr>
      </w:pPr>
      <w:r>
        <w:rPr>
          <w:rFonts w:ascii="宋体" w:hAnsi="宋体"/>
          <w:szCs w:val="24"/>
        </w:rPr>
        <w:t>二、申请人的资格要求：</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1</w:t>
      </w:r>
      <w:r>
        <w:rPr>
          <w:rFonts w:hint="eastAsia" w:asciiTheme="minorEastAsia" w:hAnsiTheme="minorEastAsia" w:eastAsiaTheme="minorEastAsia"/>
          <w:szCs w:val="24"/>
        </w:rPr>
        <w:t>、</w:t>
      </w:r>
      <w:r>
        <w:rPr>
          <w:rFonts w:asciiTheme="minorEastAsia" w:hAnsiTheme="minorEastAsia" w:eastAsiaTheme="minorEastAsia"/>
          <w:szCs w:val="24"/>
        </w:rPr>
        <w:t>满足《中华人民共和国政府采购法》第二十二条规定</w:t>
      </w:r>
      <w:r>
        <w:rPr>
          <w:rFonts w:hint="eastAsia" w:asciiTheme="minorEastAsia" w:hAnsiTheme="minorEastAsia" w:eastAsiaTheme="minorEastAsia"/>
          <w:snapToGrid w:val="0"/>
          <w:szCs w:val="24"/>
        </w:rPr>
        <w:t>（须提供具有独立承担民事责任能力的法人或其他组织的营业执照或法人证书等证明材料扫描件以及《</w:t>
      </w:r>
      <w:r>
        <w:rPr>
          <w:rFonts w:hint="eastAsia" w:asciiTheme="minorEastAsia" w:hAnsiTheme="minorEastAsia" w:eastAsiaTheme="minorEastAsia"/>
          <w:szCs w:val="24"/>
        </w:rPr>
        <w:t>政府采购投标及履约承诺函</w:t>
      </w:r>
      <w:r>
        <w:rPr>
          <w:rFonts w:hint="eastAsia" w:asciiTheme="minorEastAsia" w:hAnsiTheme="minorEastAsia" w:eastAsiaTheme="minorEastAsia"/>
          <w:snapToGrid w:val="0"/>
          <w:szCs w:val="24"/>
        </w:rPr>
        <w:t>》）</w:t>
      </w:r>
      <w:r>
        <w:rPr>
          <w:rFonts w:hint="eastAsia" w:asciiTheme="minorEastAsia" w:hAnsiTheme="minorEastAsia" w:eastAsiaTheme="minorEastAsia"/>
          <w:snapToGrid w:val="0"/>
        </w:rPr>
        <w:t>。如果是分支机构参与投标，还须同时提供其具有独立法人资格的上级主体出具的</w:t>
      </w:r>
      <w:r>
        <w:rPr>
          <w:rFonts w:hint="eastAsia" w:ascii="宋体" w:hAnsi="宋体"/>
          <w:snapToGrid w:val="0"/>
        </w:rPr>
        <w:t>有效授权书及</w:t>
      </w:r>
      <w:r>
        <w:rPr>
          <w:rFonts w:hint="eastAsia" w:asciiTheme="minorEastAsia" w:hAnsiTheme="minorEastAsia" w:eastAsiaTheme="minorEastAsia"/>
          <w:snapToGrid w:val="0"/>
        </w:rPr>
        <w:t>上级主体的</w:t>
      </w:r>
      <w:r>
        <w:rPr>
          <w:rFonts w:hint="eastAsia" w:ascii="宋体" w:hAnsi="宋体"/>
          <w:snapToGrid w:val="0"/>
        </w:rPr>
        <w:t>营业执照或法人证书等证明材料扫描件</w:t>
      </w:r>
      <w:r>
        <w:rPr>
          <w:rFonts w:hint="eastAsia" w:asciiTheme="minorEastAsia" w:hAnsiTheme="minorEastAsia" w:eastAsiaTheme="minorEastAsia"/>
          <w:snapToGrid w:val="0"/>
        </w:rPr>
        <w:t>；</w:t>
      </w:r>
      <w:r>
        <w:rPr>
          <w:rFonts w:hint="eastAsia" w:ascii="宋体" w:hAnsi="宋体"/>
          <w:snapToGrid w:val="0"/>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zCs w:val="24"/>
        </w:rPr>
        <w:t>。</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2</w:t>
      </w:r>
      <w:r>
        <w:rPr>
          <w:rFonts w:hint="eastAsia" w:asciiTheme="minorEastAsia" w:hAnsiTheme="minorEastAsia" w:eastAsiaTheme="minorEastAsia"/>
          <w:szCs w:val="24"/>
        </w:rPr>
        <w:t>、</w:t>
      </w:r>
      <w:r>
        <w:rPr>
          <w:rFonts w:asciiTheme="minorEastAsia" w:hAnsiTheme="minorEastAsia" w:eastAsiaTheme="minorEastAsia"/>
          <w:szCs w:val="24"/>
        </w:rPr>
        <w:t>落实政府采购政策需满足的资格要求：</w:t>
      </w:r>
      <w:r>
        <w:rPr>
          <w:rFonts w:hint="eastAsia" w:asciiTheme="minorEastAsia" w:hAnsiTheme="minorEastAsia" w:eastAsiaTheme="minorEastAsia"/>
          <w:szCs w:val="24"/>
        </w:rPr>
        <w:t>本项目属于专门面向中小微企业采购的项目（提供符合要求的《中小企业声明函》，且供应商属于中型企业、小型企业或微型企业；如供应商为残疾人福利性单位或监狱企业，视同小型、微型企业，提供《残疾人福利性单位声明函》或《监狱企业声明函》及监狱企业证明文件亦视为符合）。</w:t>
      </w:r>
      <w:r>
        <w:rPr>
          <w:rFonts w:asciiTheme="minorEastAsia" w:hAnsiTheme="minorEastAsia" w:eastAsiaTheme="minorEastAsia"/>
          <w:szCs w:val="24"/>
        </w:rPr>
        <w:t xml:space="preserve"> </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3</w:t>
      </w:r>
      <w:r>
        <w:rPr>
          <w:rFonts w:hint="eastAsia" w:asciiTheme="minorEastAsia" w:hAnsiTheme="minorEastAsia" w:eastAsiaTheme="minorEastAsia"/>
          <w:szCs w:val="24"/>
        </w:rPr>
        <w:t>、</w:t>
      </w:r>
      <w:r>
        <w:rPr>
          <w:rFonts w:asciiTheme="minorEastAsia" w:hAnsiTheme="minorEastAsia" w:eastAsiaTheme="minorEastAsia"/>
          <w:szCs w:val="24"/>
        </w:rPr>
        <w:t>本项目的特定资格要求：</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（1）</w:t>
      </w:r>
      <w:r>
        <w:rPr>
          <w:rFonts w:hint="eastAsia" w:asciiTheme="minorEastAsia" w:hAnsiTheme="minorEastAsia" w:eastAsiaTheme="minorEastAsia"/>
          <w:snapToGrid w:val="0"/>
          <w:szCs w:val="24"/>
        </w:rPr>
        <w:t>参与本项目采购活动前三年内，在经营活动中没有重大违法记录</w:t>
      </w:r>
      <w:r>
        <w:rPr>
          <w:rFonts w:hint="eastAsia" w:asciiTheme="minorEastAsia" w:hAnsiTheme="minorEastAsia" w:eastAsiaTheme="minorEastAsia"/>
          <w:szCs w:val="24"/>
        </w:rPr>
        <w:t>（由供应商在《政府采购投标及履约承诺函》中作出声明）；</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（2）</w:t>
      </w:r>
      <w:r>
        <w:rPr>
          <w:rFonts w:hint="eastAsia" w:asciiTheme="minorEastAsia" w:hAnsiTheme="minorEastAsia" w:eastAsiaTheme="minorEastAsia"/>
          <w:snapToGrid w:val="0"/>
          <w:szCs w:val="24"/>
        </w:rPr>
        <w:t>参与本项目政府采购活动时不存在被有关部门禁止参与政府采购活动且在有效期内的情况</w:t>
      </w:r>
      <w:r>
        <w:rPr>
          <w:rFonts w:hint="eastAsia" w:asciiTheme="minorEastAsia" w:hAnsiTheme="minorEastAsia" w:eastAsiaTheme="minorEastAsia"/>
          <w:szCs w:val="24"/>
        </w:rPr>
        <w:t>（由供应商在《政府采购投标及履约承诺函》中作出声明）；</w:t>
      </w:r>
    </w:p>
    <w:p>
      <w:pPr>
        <w:spacing w:line="360" w:lineRule="exact"/>
        <w:ind w:firstLine="424" w:firstLineChars="202"/>
        <w:jc w:val="left"/>
        <w:rPr>
          <w:rFonts w:asciiTheme="minorEastAsia" w:hAnsiTheme="minorEastAsia" w:eastAsiaTheme="minorEastAsia"/>
          <w:szCs w:val="24"/>
        </w:rPr>
      </w:pPr>
      <w:r>
        <w:rPr>
          <w:rFonts w:hint="eastAsia" w:asciiTheme="minorEastAsia" w:hAnsiTheme="minorEastAsia" w:eastAsiaTheme="minorEastAsia"/>
          <w:szCs w:val="24"/>
        </w:rPr>
        <w:t>（3）</w:t>
      </w:r>
      <w:r>
        <w:rPr>
          <w:rFonts w:hint="eastAsia" w:asciiTheme="minorEastAsia" w:hAnsiTheme="minorEastAsia" w:eastAsiaTheme="minorEastAsia"/>
          <w:snapToGrid w:val="0"/>
          <w:szCs w:val="24"/>
        </w:rPr>
        <w:t>单位负责人为同一人或者存在直接控股、管理关系的不同供应商，不得参加同一合同项下</w:t>
      </w:r>
      <w:r>
        <w:rPr>
          <w:rFonts w:hint="eastAsia" w:asciiTheme="minorEastAsia" w:hAnsiTheme="minorEastAsia" w:eastAsiaTheme="minorEastAsia"/>
          <w:szCs w:val="24"/>
        </w:rPr>
        <w:t>的政府采购活动（由供应商在《政府采购投标及履约承诺函》中作出声明）；</w:t>
      </w:r>
    </w:p>
    <w:p>
      <w:pPr>
        <w:spacing w:line="360" w:lineRule="exact"/>
        <w:ind w:firstLine="424" w:firstLineChars="202"/>
        <w:jc w:val="left"/>
        <w:rPr>
          <w:rFonts w:asciiTheme="minorEastAsia" w:hAnsiTheme="minorEastAsia" w:eastAsiaTheme="minorEastAsia"/>
          <w:szCs w:val="24"/>
        </w:rPr>
      </w:pPr>
      <w:r>
        <w:rPr>
          <w:rFonts w:hint="eastAsia" w:asciiTheme="minorEastAsia" w:hAnsiTheme="minorEastAsia" w:eastAsiaTheme="minorEastAsia"/>
          <w:szCs w:val="24"/>
        </w:rPr>
        <w:t>（4）</w:t>
      </w:r>
      <w:r>
        <w:rPr>
          <w:rFonts w:hint="eastAsia" w:asciiTheme="minorEastAsia" w:hAnsiTheme="minorEastAsia" w:eastAsiaTheme="minorEastAsia"/>
          <w:snapToGrid w:val="0"/>
          <w:szCs w:val="24"/>
        </w:rPr>
        <w:t>除单一来源采购项目外，为采购项目提供整体设计、规范编制或者项目管理、监理、检测等</w:t>
      </w:r>
      <w:r>
        <w:rPr>
          <w:rFonts w:hint="eastAsia" w:asciiTheme="minorEastAsia" w:hAnsiTheme="minorEastAsia" w:eastAsiaTheme="minorEastAsia"/>
          <w:szCs w:val="24"/>
        </w:rPr>
        <w:t>服务的供应商，不得再参加该采购项目的其他采购活动（由供应商在《政府采购投标及履约承诺函》中作出声明）；</w:t>
      </w:r>
    </w:p>
    <w:p>
      <w:pPr>
        <w:spacing w:line="360" w:lineRule="exact"/>
        <w:ind w:firstLine="424" w:firstLineChars="202"/>
        <w:jc w:val="left"/>
        <w:rPr>
          <w:rFonts w:asciiTheme="minorEastAsia" w:hAnsiTheme="minorEastAsia" w:eastAsiaTheme="minorEastAsia"/>
          <w:szCs w:val="24"/>
        </w:rPr>
      </w:pPr>
      <w:r>
        <w:rPr>
          <w:rFonts w:hint="eastAsia" w:asciiTheme="minorEastAsia" w:hAnsiTheme="minorEastAsia" w:eastAsiaTheme="minorEastAsia"/>
          <w:szCs w:val="24"/>
        </w:rPr>
        <w:t>（5）参与本项目政府采购活动不存在与其他采购参加人串通投标，隐瞒真实情况，提供虚假资料等违法违规情形（由供应商在《政府采购投标及履约承诺函》中作出声明）；</w:t>
      </w:r>
    </w:p>
    <w:p>
      <w:pPr>
        <w:spacing w:line="360" w:lineRule="exact"/>
        <w:ind w:firstLine="424" w:firstLineChars="202"/>
        <w:jc w:val="left"/>
        <w:rPr>
          <w:rFonts w:asciiTheme="minorEastAsia" w:hAnsiTheme="minorEastAsia" w:eastAsiaTheme="minorEastAsia"/>
          <w:szCs w:val="24"/>
        </w:rPr>
      </w:pPr>
      <w:r>
        <w:rPr>
          <w:rFonts w:hint="eastAsia" w:asciiTheme="minorEastAsia" w:hAnsiTheme="minorEastAsia" w:eastAsiaTheme="minorEastAsia"/>
          <w:szCs w:val="24"/>
        </w:rPr>
        <w:t>（6）未被列入失信被执行人、重大税收违法案件当事人名单及政府采购严重违法失信行为记录名单（</w:t>
      </w:r>
      <w:r>
        <w:rPr>
          <w:rFonts w:hint="eastAsia" w:asciiTheme="minorEastAsia" w:hAnsiTheme="minorEastAsia" w:eastAsiaTheme="minorEastAsia"/>
          <w:snapToGrid w:val="0"/>
        </w:rPr>
        <w:t>信用中国网“信用服务”栏的“重大税收违法失信主体”、“失信被执行人”，中国政府采购网“政府采购严重违法失信行为记录名单”，深圳信用网以及深圳市政府采购监管网</w:t>
      </w:r>
      <w:r>
        <w:rPr>
          <w:rFonts w:hint="eastAsia" w:asciiTheme="minorEastAsia" w:hAnsiTheme="minorEastAsia" w:eastAsiaTheme="minorEastAsia"/>
          <w:szCs w:val="24"/>
        </w:rPr>
        <w:t>为供应商信用信息查询渠道，相关信息以开标当日的查询结果为准。由采购代理机构查询，供应商无需提供证明材料）；</w:t>
      </w:r>
    </w:p>
    <w:p>
      <w:pPr>
        <w:widowControl/>
        <w:adjustRightInd w:val="0"/>
        <w:snapToGrid w:val="0"/>
        <w:spacing w:line="360" w:lineRule="exact"/>
        <w:ind w:firstLine="424" w:firstLineChars="202"/>
        <w:jc w:val="left"/>
        <w:rPr>
          <w:rFonts w:cs="Arial Unicode MS" w:asciiTheme="minorEastAsia" w:hAnsiTheme="minorEastAsia" w:eastAsiaTheme="minorEastAsia"/>
          <w:snapToGrid w:val="0"/>
          <w:kern w:val="0"/>
          <w:szCs w:val="18"/>
        </w:rPr>
      </w:pPr>
      <w:r>
        <w:rPr>
          <w:rFonts w:hint="eastAsia" w:cs="Arial Unicode MS" w:asciiTheme="minorEastAsia" w:hAnsiTheme="minorEastAsia" w:eastAsiaTheme="minorEastAsia"/>
          <w:snapToGrid w:val="0"/>
          <w:kern w:val="0"/>
          <w:szCs w:val="18"/>
        </w:rPr>
        <w:t>（7）</w:t>
      </w:r>
      <w:r>
        <w:rPr>
          <w:rFonts w:hint="eastAsia" w:asciiTheme="minorEastAsia" w:hAnsiTheme="minorEastAsia" w:eastAsiaTheme="minorEastAsia"/>
          <w:snapToGrid w:val="0"/>
        </w:rPr>
        <w:t>参与本项目不存在《深圳市财政局政府采购供应商信用信息管理办法》（深财规[2023]3号）列明的严重违法失信行为（由供应商在《政府采购投标及履约承诺函》中作出声明）；</w:t>
      </w:r>
    </w:p>
    <w:p>
      <w:pPr>
        <w:widowControl/>
        <w:adjustRightInd w:val="0"/>
        <w:snapToGrid w:val="0"/>
        <w:spacing w:line="360" w:lineRule="exact"/>
        <w:ind w:firstLine="424" w:firstLineChars="202"/>
        <w:jc w:val="left"/>
        <w:rPr>
          <w:rFonts w:cs="Arial Unicode MS" w:asciiTheme="minorEastAsia" w:hAnsiTheme="minorEastAsia" w:eastAsiaTheme="minorEastAsia"/>
          <w:snapToGrid w:val="0"/>
          <w:kern w:val="0"/>
          <w:szCs w:val="18"/>
        </w:rPr>
      </w:pPr>
      <w:r>
        <w:rPr>
          <w:rFonts w:hint="eastAsia" w:cs="Arial Unicode MS" w:asciiTheme="minorEastAsia" w:hAnsiTheme="minorEastAsia" w:eastAsiaTheme="minorEastAsia"/>
          <w:snapToGrid w:val="0"/>
          <w:kern w:val="0"/>
          <w:szCs w:val="18"/>
        </w:rPr>
        <w:t>（8）本项目不接受联合体投标，不允许非法分包或转包。</w:t>
      </w:r>
    </w:p>
    <w:p>
      <w:pPr>
        <w:widowControl/>
        <w:adjustRightInd w:val="0"/>
        <w:snapToGrid w:val="0"/>
        <w:spacing w:line="360" w:lineRule="exact"/>
        <w:ind w:firstLine="424" w:firstLineChars="202"/>
        <w:jc w:val="left"/>
        <w:rPr>
          <w:rFonts w:cs="Arial Unicode MS" w:asciiTheme="minorEastAsia" w:hAnsiTheme="minorEastAsia" w:eastAsiaTheme="minorEastAsia"/>
          <w:snapToGrid w:val="0"/>
          <w:kern w:val="0"/>
          <w:szCs w:val="18"/>
        </w:rPr>
      </w:pPr>
      <w:r>
        <w:rPr>
          <w:rFonts w:hint="eastAsia" w:cs="Arial Unicode MS" w:asciiTheme="minorEastAsia" w:hAnsiTheme="minorEastAsia" w:eastAsiaTheme="minorEastAsia"/>
          <w:snapToGrid w:val="0"/>
          <w:kern w:val="0"/>
          <w:szCs w:val="18"/>
        </w:rPr>
        <w:t>注：供应商投标（上传投标文件）必须先行办理注册手续，具体请按照本公告“三、获取招标文件”相关内容指引办理。</w:t>
      </w:r>
    </w:p>
    <w:p>
      <w:pPr>
        <w:widowControl/>
        <w:spacing w:line="360" w:lineRule="exact"/>
        <w:rPr>
          <w:rFonts w:ascii="宋体" w:hAnsi="宋体"/>
          <w:szCs w:val="24"/>
        </w:rPr>
      </w:pPr>
    </w:p>
    <w:p>
      <w:pPr>
        <w:widowControl/>
        <w:spacing w:line="360" w:lineRule="exact"/>
        <w:rPr>
          <w:rFonts w:ascii="宋体" w:hAnsi="宋体"/>
          <w:szCs w:val="24"/>
        </w:rPr>
      </w:pPr>
      <w:r>
        <w:rPr>
          <w:rFonts w:ascii="宋体" w:hAnsi="宋体"/>
          <w:szCs w:val="24"/>
        </w:rPr>
        <w:t>三、获取招标文件</w:t>
      </w:r>
    </w:p>
    <w:p>
      <w:pPr>
        <w:widowControl/>
        <w:spacing w:line="360" w:lineRule="exact"/>
        <w:ind w:firstLine="420" w:firstLineChars="200"/>
        <w:rPr>
          <w:rFonts w:ascii="宋体" w:hAnsi="宋体"/>
          <w:szCs w:val="24"/>
        </w:rPr>
      </w:pPr>
      <w:r>
        <w:rPr>
          <w:rFonts w:hint="eastAsia" w:ascii="宋体" w:hAnsi="宋体"/>
          <w:szCs w:val="24"/>
        </w:rPr>
        <w:t>1、</w:t>
      </w:r>
      <w:r>
        <w:rPr>
          <w:rFonts w:ascii="宋体" w:hAnsi="宋体"/>
          <w:szCs w:val="24"/>
        </w:rPr>
        <w:t>时间：</w:t>
      </w:r>
      <w:r>
        <w:rPr>
          <w:rFonts w:hint="eastAsia" w:ascii="宋体" w:hAnsi="宋体"/>
          <w:b/>
          <w:szCs w:val="24"/>
          <w:u w:val="single"/>
        </w:rPr>
        <w:t>2024年</w:t>
      </w:r>
      <w:r>
        <w:rPr>
          <w:rFonts w:hint="eastAsia" w:ascii="宋体" w:hAnsi="宋体"/>
          <w:b/>
          <w:szCs w:val="24"/>
          <w:u w:val="single"/>
          <w:lang w:val="en-US" w:eastAsia="zh-CN"/>
        </w:rPr>
        <w:t>07</w:t>
      </w:r>
      <w:r>
        <w:rPr>
          <w:rFonts w:hint="eastAsia" w:ascii="宋体" w:hAnsi="宋体"/>
          <w:b/>
          <w:szCs w:val="24"/>
          <w:u w:val="single"/>
        </w:rPr>
        <w:t>月</w:t>
      </w:r>
      <w:r>
        <w:rPr>
          <w:rFonts w:hint="eastAsia" w:ascii="宋体" w:hAnsi="宋体"/>
          <w:b/>
          <w:szCs w:val="24"/>
          <w:u w:val="single"/>
          <w:lang w:val="en-US" w:eastAsia="zh-CN"/>
        </w:rPr>
        <w:t>08</w:t>
      </w:r>
      <w:r>
        <w:rPr>
          <w:rFonts w:hint="eastAsia" w:ascii="宋体" w:hAnsi="宋体"/>
          <w:b/>
          <w:szCs w:val="24"/>
          <w:u w:val="single"/>
        </w:rPr>
        <w:t>日至2024年</w:t>
      </w:r>
      <w:r>
        <w:rPr>
          <w:rFonts w:hint="eastAsia" w:ascii="宋体" w:hAnsi="宋体"/>
          <w:b/>
          <w:szCs w:val="24"/>
          <w:u w:val="single"/>
          <w:lang w:val="en-US" w:eastAsia="zh-CN"/>
        </w:rPr>
        <w:t>07</w:t>
      </w:r>
      <w:r>
        <w:rPr>
          <w:rFonts w:hint="eastAsia" w:ascii="宋体" w:hAnsi="宋体"/>
          <w:b/>
          <w:szCs w:val="24"/>
          <w:u w:val="single"/>
        </w:rPr>
        <w:t>月</w:t>
      </w:r>
      <w:r>
        <w:rPr>
          <w:rFonts w:hint="eastAsia" w:ascii="宋体" w:hAnsi="宋体"/>
          <w:b/>
          <w:szCs w:val="24"/>
          <w:u w:val="single"/>
          <w:lang w:val="en-US" w:eastAsia="zh-CN"/>
        </w:rPr>
        <w:t>19</w:t>
      </w:r>
      <w:r>
        <w:rPr>
          <w:rFonts w:hint="eastAsia" w:ascii="宋体" w:hAnsi="宋体"/>
          <w:b/>
          <w:szCs w:val="24"/>
          <w:u w:val="single"/>
        </w:rPr>
        <w:t>日</w:t>
      </w:r>
      <w:r>
        <w:rPr>
          <w:rFonts w:ascii="宋体" w:hAnsi="宋体"/>
          <w:b/>
          <w:szCs w:val="24"/>
          <w:u w:val="single"/>
        </w:rPr>
        <w:t>14:00</w:t>
      </w:r>
      <w:r>
        <w:rPr>
          <w:rFonts w:hint="eastAsia" w:ascii="宋体" w:hAnsi="宋体"/>
          <w:b/>
          <w:szCs w:val="24"/>
          <w:u w:val="single"/>
        </w:rPr>
        <w:t>，每天上午0:00至12:00，下午12:00至24:00（北京时间，法定节假日除外）</w:t>
      </w:r>
      <w:r>
        <w:rPr>
          <w:rFonts w:hint="eastAsia" w:ascii="宋体" w:hAnsi="宋体"/>
          <w:szCs w:val="24"/>
        </w:rPr>
        <w:t>。</w:t>
      </w:r>
      <w:r>
        <w:rPr>
          <w:rFonts w:ascii="宋体" w:hAnsi="宋体"/>
          <w:szCs w:val="24"/>
        </w:rPr>
        <w:t xml:space="preserve"> </w:t>
      </w:r>
    </w:p>
    <w:p>
      <w:pPr>
        <w:spacing w:line="360" w:lineRule="exact"/>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2、</w:t>
      </w:r>
      <w:r>
        <w:rPr>
          <w:rFonts w:asciiTheme="minorEastAsia" w:hAnsiTheme="minorEastAsia" w:eastAsiaTheme="minorEastAsia"/>
          <w:szCs w:val="24"/>
        </w:rPr>
        <w:t>地点：</w:t>
      </w:r>
      <w:r>
        <w:rPr>
          <w:rFonts w:hint="eastAsia" w:asciiTheme="minorEastAsia" w:hAnsiTheme="minorEastAsia" w:eastAsiaTheme="minorEastAsia"/>
          <w:szCs w:val="24"/>
        </w:rPr>
        <w:t>登录深圳政府采购智慧平台（http://zfcg.szggzy.com:8081/）下载本项目的招标文件</w:t>
      </w:r>
      <w:r>
        <w:rPr>
          <w:rFonts w:asciiTheme="minorEastAsia" w:hAnsiTheme="minorEastAsia" w:eastAsiaTheme="minorEastAsia"/>
          <w:szCs w:val="24"/>
        </w:rPr>
        <w:t xml:space="preserve">。 </w:t>
      </w:r>
    </w:p>
    <w:p>
      <w:pPr>
        <w:spacing w:line="360" w:lineRule="exact"/>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3、</w:t>
      </w:r>
      <w:r>
        <w:rPr>
          <w:rFonts w:asciiTheme="minorEastAsia" w:hAnsiTheme="minorEastAsia" w:eastAsiaTheme="minorEastAsia"/>
          <w:szCs w:val="24"/>
        </w:rPr>
        <w:t xml:space="preserve">方式：在线下载。 </w:t>
      </w:r>
    </w:p>
    <w:p>
      <w:pPr>
        <w:spacing w:line="360" w:lineRule="exact"/>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4、</w:t>
      </w:r>
      <w:r>
        <w:rPr>
          <w:rFonts w:asciiTheme="minorEastAsia" w:hAnsiTheme="minorEastAsia" w:eastAsiaTheme="minorEastAsia"/>
          <w:szCs w:val="24"/>
        </w:rPr>
        <w:t>售价：免费。</w:t>
      </w:r>
    </w:p>
    <w:p>
      <w:pPr>
        <w:spacing w:line="360" w:lineRule="exact"/>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凡已注册的深圳市网上政府采购供应商，按照授予的操作权限，可于</w:t>
      </w:r>
      <w:r>
        <w:rPr>
          <w:rFonts w:hint="eastAsia" w:ascii="宋体" w:hAnsi="宋体"/>
          <w:b/>
          <w:szCs w:val="24"/>
          <w:u w:val="single"/>
        </w:rPr>
        <w:t>获取招标文件时间内</w:t>
      </w:r>
      <w:r>
        <w:rPr>
          <w:rFonts w:hint="eastAsia" w:asciiTheme="minorEastAsia" w:hAnsiTheme="minorEastAsia" w:eastAsiaTheme="minorEastAsia"/>
          <w:szCs w:val="24"/>
        </w:rPr>
        <w:t>登录深圳政府采购智慧平台（http://zfcg.szggzy.com:8081/）下载本项目的采购文件。投标人如确定参加投标，首先要在深圳政府采购智慧平台网上办事子系统（http://zfcg.szggzy.com:8081/TPBidder/memberLogin）网上报名投标，方法为登陆网上办事子系统后点击“【招标公告】→【我要报名】”；如果网上报名后上传了投标文件，又不参加投标，应再到【我的项目】→【项目流程】→【递交投标(应答)文件】功能点中进行“【撤回本次投标】”操作；如果是未注册为深圳政府采购智慧平台（http://zfcg.szggzy.com:8081/）的供应商，请先办理密钥（</w:t>
      </w:r>
      <w:r>
        <w:fldChar w:fldCharType="begin"/>
      </w:r>
      <w:r>
        <w:instrText xml:space="preserve"> HYPERLINK "http://zfcg.szggzy.com:8081/TPBidder/CAHandle" </w:instrText>
      </w:r>
      <w:r>
        <w:fldChar w:fldCharType="separate"/>
      </w:r>
      <w:r>
        <w:rPr>
          <w:rFonts w:asciiTheme="minorEastAsia" w:hAnsiTheme="minorEastAsia" w:eastAsiaTheme="minorEastAsia"/>
          <w:color w:val="0000FF"/>
          <w:u w:val="single"/>
        </w:rPr>
        <w:t>请点击</w:t>
      </w:r>
      <w:r>
        <w:rPr>
          <w:rFonts w:asciiTheme="minorEastAsia" w:hAnsiTheme="minorEastAsia" w:eastAsiaTheme="minorEastAsia"/>
          <w:color w:val="0000FF"/>
          <w:u w:val="single"/>
        </w:rPr>
        <w:fldChar w:fldCharType="end"/>
      </w:r>
      <w:r>
        <w:rPr>
          <w:rFonts w:hint="eastAsia" w:asciiTheme="minorEastAsia" w:hAnsiTheme="minorEastAsia" w:eastAsiaTheme="minorEastAsia"/>
          <w:szCs w:val="24"/>
        </w:rPr>
        <w:t>），并前往深圳公共资源交易中心绑定深圳政府采购智慧平台用户（</w:t>
      </w:r>
      <w:r>
        <w:rPr>
          <w:rFonts w:hint="eastAsia" w:ascii="宋体" w:hAnsi="宋体"/>
        </w:rPr>
        <w:t>电子密钥办理咨询电话：0755-83948165、0755-83938966、020-89524338</w:t>
      </w:r>
      <w:r>
        <w:rPr>
          <w:rFonts w:hint="eastAsia" w:asciiTheme="minorEastAsia" w:hAnsiTheme="minorEastAsia" w:eastAsiaTheme="minorEastAsia"/>
          <w:szCs w:val="24"/>
        </w:rPr>
        <w:t>），再进行投标报名。在网上报名后，点击“【我的项目】→【项目流程】→【采购文件下载】”进行招标文件的下载。</w:t>
      </w:r>
    </w:p>
    <w:p>
      <w:pPr>
        <w:widowControl/>
        <w:spacing w:line="360" w:lineRule="exact"/>
        <w:ind w:firstLine="420" w:firstLineChars="200"/>
        <w:rPr>
          <w:rFonts w:ascii="宋体" w:hAnsi="宋体"/>
          <w:szCs w:val="24"/>
        </w:rPr>
      </w:pPr>
    </w:p>
    <w:p>
      <w:pPr>
        <w:widowControl/>
        <w:spacing w:line="360" w:lineRule="exact"/>
        <w:rPr>
          <w:rFonts w:ascii="宋体" w:hAnsi="宋体"/>
          <w:szCs w:val="24"/>
        </w:rPr>
      </w:pPr>
      <w:r>
        <w:rPr>
          <w:rFonts w:ascii="宋体" w:hAnsi="宋体"/>
          <w:szCs w:val="24"/>
        </w:rPr>
        <w:t>四、提交投标文件截止时间、开标时间和地点</w:t>
      </w:r>
    </w:p>
    <w:p>
      <w:pPr>
        <w:widowControl/>
        <w:spacing w:line="360" w:lineRule="exact"/>
        <w:ind w:firstLine="424" w:firstLineChars="202"/>
        <w:rPr>
          <w:rFonts w:ascii="宋体" w:hAnsi="宋体"/>
          <w:szCs w:val="24"/>
        </w:rPr>
      </w:pPr>
      <w:r>
        <w:rPr>
          <w:rFonts w:hint="eastAsia" w:ascii="宋体" w:hAnsi="宋体"/>
          <w:szCs w:val="24"/>
        </w:rPr>
        <w:t>1、投标截止时间：所有投标文件应于</w:t>
      </w:r>
      <w:r>
        <w:rPr>
          <w:rFonts w:hint="eastAsia" w:ascii="宋体" w:hAnsi="宋体"/>
          <w:b/>
          <w:szCs w:val="24"/>
          <w:u w:val="single"/>
        </w:rPr>
        <w:t>2024年</w:t>
      </w:r>
      <w:r>
        <w:rPr>
          <w:rFonts w:hint="eastAsia" w:ascii="宋体" w:hAnsi="宋体"/>
          <w:b/>
          <w:szCs w:val="24"/>
          <w:u w:val="single"/>
          <w:lang w:val="en-US" w:eastAsia="zh-CN"/>
        </w:rPr>
        <w:t>07</w:t>
      </w:r>
      <w:r>
        <w:rPr>
          <w:rFonts w:hint="eastAsia" w:ascii="宋体" w:hAnsi="宋体"/>
          <w:b/>
          <w:szCs w:val="24"/>
          <w:u w:val="single"/>
        </w:rPr>
        <w:t>月</w:t>
      </w:r>
      <w:r>
        <w:rPr>
          <w:rFonts w:hint="eastAsia" w:ascii="宋体" w:hAnsi="宋体"/>
          <w:b/>
          <w:szCs w:val="24"/>
          <w:u w:val="single"/>
          <w:lang w:val="en-US" w:eastAsia="zh-CN"/>
        </w:rPr>
        <w:t>19</w:t>
      </w:r>
      <w:r>
        <w:rPr>
          <w:rFonts w:hint="eastAsia" w:ascii="宋体" w:hAnsi="宋体"/>
          <w:b/>
          <w:szCs w:val="24"/>
          <w:u w:val="single"/>
        </w:rPr>
        <w:t>日14:00（北京时间）</w:t>
      </w:r>
      <w:r>
        <w:rPr>
          <w:rFonts w:hint="eastAsia" w:ascii="宋体" w:hAnsi="宋体"/>
          <w:szCs w:val="24"/>
        </w:rPr>
        <w:t>之前上传到深圳政府采购智慧平台（http://zfcg.szggzy.com:8081/）。具体操作为登录“深圳政府采购智慧平台用户网上办事子系统（http://zfcg.szggzy.com:8081/TPBidder/memberLogin）”，用“【我的项目】→【项目流程】→【递交投标(应答)文件】”功能点上传投标文件。本项目电子投标文件最大容量为200MB</w:t>
      </w:r>
      <w:r>
        <w:rPr>
          <w:rFonts w:hint="eastAsia" w:ascii="宋体" w:hAnsi="宋体" w:cs="宋体"/>
          <w:szCs w:val="21"/>
        </w:rPr>
        <w:t>，单个节点文件不能超过</w:t>
      </w:r>
      <w:r>
        <w:rPr>
          <w:rFonts w:ascii="宋体" w:hAnsi="宋体" w:cs="宋体"/>
          <w:szCs w:val="21"/>
        </w:rPr>
        <w:t>50M</w:t>
      </w:r>
      <w:r>
        <w:rPr>
          <w:rFonts w:hint="eastAsia" w:ascii="宋体" w:hAnsi="宋体" w:cs="宋体"/>
          <w:szCs w:val="21"/>
        </w:rPr>
        <w:t>B</w:t>
      </w:r>
      <w:r>
        <w:rPr>
          <w:rFonts w:hint="eastAsia" w:ascii="宋体" w:hAnsi="宋体"/>
          <w:szCs w:val="24"/>
        </w:rPr>
        <w:t>，超过此容量的文件将被拒绝。</w:t>
      </w:r>
    </w:p>
    <w:p>
      <w:pPr>
        <w:widowControl/>
        <w:spacing w:line="360" w:lineRule="exact"/>
        <w:ind w:firstLine="424" w:firstLineChars="202"/>
        <w:rPr>
          <w:rFonts w:ascii="宋体" w:hAnsi="宋体"/>
          <w:szCs w:val="24"/>
        </w:rPr>
      </w:pPr>
      <w:r>
        <w:rPr>
          <w:rFonts w:hint="eastAsia" w:ascii="宋体" w:hAnsi="宋体"/>
          <w:szCs w:val="24"/>
        </w:rPr>
        <w:t>2、开标时间和地点：定于</w:t>
      </w:r>
      <w:r>
        <w:rPr>
          <w:rFonts w:hint="eastAsia" w:ascii="宋体" w:hAnsi="宋体"/>
          <w:b/>
          <w:szCs w:val="24"/>
          <w:u w:val="single"/>
        </w:rPr>
        <w:t>2024年</w:t>
      </w:r>
      <w:r>
        <w:rPr>
          <w:rFonts w:hint="eastAsia" w:ascii="宋体" w:hAnsi="宋体"/>
          <w:b/>
          <w:szCs w:val="24"/>
          <w:u w:val="single"/>
          <w:lang w:val="en-US" w:eastAsia="zh-CN"/>
        </w:rPr>
        <w:t>07</w:t>
      </w:r>
      <w:r>
        <w:rPr>
          <w:rFonts w:hint="eastAsia" w:ascii="宋体" w:hAnsi="宋体"/>
          <w:b/>
          <w:szCs w:val="24"/>
          <w:u w:val="single"/>
        </w:rPr>
        <w:t>月</w:t>
      </w:r>
      <w:r>
        <w:rPr>
          <w:rFonts w:hint="eastAsia" w:ascii="宋体" w:hAnsi="宋体"/>
          <w:b/>
          <w:szCs w:val="24"/>
          <w:u w:val="single"/>
          <w:lang w:val="en-US" w:eastAsia="zh-CN"/>
        </w:rPr>
        <w:t>19</w:t>
      </w:r>
      <w:r>
        <w:rPr>
          <w:rFonts w:hint="eastAsia" w:ascii="宋体" w:hAnsi="宋体"/>
          <w:b/>
          <w:szCs w:val="24"/>
          <w:u w:val="single"/>
        </w:rPr>
        <w:t>日14:00（北京时间）</w:t>
      </w:r>
      <w:r>
        <w:rPr>
          <w:rFonts w:hint="eastAsia" w:ascii="宋体" w:hAnsi="宋体"/>
          <w:szCs w:val="24"/>
        </w:rPr>
        <w:t>，在深圳市中正招标有限公司公开开标。供应商可以登录“深圳政府采购智慧平台用户网上办事子系统（http://zfcg.szggzy.com:8081/TPBidder/memberLogin）”，在“【我的项目】→【项目流程】→【开标及解密】”进行在线解密、查询开标情况。</w:t>
      </w:r>
    </w:p>
    <w:p>
      <w:pPr>
        <w:widowControl/>
        <w:spacing w:line="360" w:lineRule="exact"/>
        <w:ind w:firstLine="426" w:firstLineChars="202"/>
        <w:rPr>
          <w:rFonts w:ascii="宋体" w:hAnsi="宋体"/>
          <w:szCs w:val="24"/>
        </w:rPr>
      </w:pPr>
      <w:r>
        <w:rPr>
          <w:rFonts w:hint="eastAsia" w:ascii="宋体" w:hAnsi="宋体"/>
          <w:b/>
          <w:szCs w:val="24"/>
        </w:rPr>
        <w:t>3、在线解密：投标人须在</w:t>
      </w:r>
      <w:r>
        <w:rPr>
          <w:rFonts w:hint="eastAsia" w:ascii="宋体" w:hAnsi="宋体"/>
          <w:b/>
          <w:szCs w:val="24"/>
          <w:u w:val="single"/>
        </w:rPr>
        <w:t>2024年</w:t>
      </w:r>
      <w:r>
        <w:rPr>
          <w:rFonts w:hint="eastAsia" w:ascii="宋体" w:hAnsi="宋体"/>
          <w:b/>
          <w:szCs w:val="24"/>
          <w:u w:val="single"/>
          <w:lang w:val="en-US" w:eastAsia="zh-CN"/>
        </w:rPr>
        <w:t>07</w:t>
      </w:r>
      <w:r>
        <w:rPr>
          <w:rFonts w:hint="eastAsia" w:ascii="宋体" w:hAnsi="宋体"/>
          <w:b/>
          <w:szCs w:val="24"/>
          <w:u w:val="single"/>
        </w:rPr>
        <w:t>月</w:t>
      </w:r>
      <w:r>
        <w:rPr>
          <w:rFonts w:hint="eastAsia" w:ascii="宋体" w:hAnsi="宋体"/>
          <w:b/>
          <w:szCs w:val="24"/>
          <w:u w:val="single"/>
          <w:lang w:val="en-US" w:eastAsia="zh-CN"/>
        </w:rPr>
        <w:t>19</w:t>
      </w:r>
      <w:r>
        <w:rPr>
          <w:rFonts w:hint="eastAsia" w:ascii="宋体" w:hAnsi="宋体"/>
          <w:b/>
          <w:szCs w:val="24"/>
          <w:u w:val="single"/>
        </w:rPr>
        <w:t>日14:00-15:00（北京时间）</w:t>
      </w:r>
      <w:r>
        <w:rPr>
          <w:rFonts w:hint="eastAsia" w:ascii="宋体" w:hAnsi="宋体"/>
          <w:b/>
          <w:szCs w:val="24"/>
        </w:rPr>
        <w:t>期间进行解密，逾期未解密的作无效处理。</w:t>
      </w:r>
      <w:r>
        <w:rPr>
          <w:rFonts w:hint="eastAsia" w:ascii="宋体" w:hAnsi="宋体"/>
          <w:szCs w:val="24"/>
        </w:rPr>
        <w:t>解密方法：登录“深圳政府采购智慧平台用户网上办事子系统（http://zfcg.szggzy.com:8081/TPBidder/memberLogin）”，使用本单位制作电子投标文件同一个电子密钥，在“【我的项目】→【项目流程】→【开标及解密】”进行在线解密、查询开标情况。</w:t>
      </w:r>
    </w:p>
    <w:p>
      <w:pPr>
        <w:widowControl/>
        <w:spacing w:line="360" w:lineRule="exact"/>
        <w:ind w:left="420" w:leftChars="200"/>
        <w:rPr>
          <w:rFonts w:ascii="宋体" w:hAnsi="宋体"/>
          <w:szCs w:val="24"/>
        </w:rPr>
      </w:pPr>
    </w:p>
    <w:p>
      <w:pPr>
        <w:widowControl/>
        <w:spacing w:line="360" w:lineRule="exact"/>
        <w:rPr>
          <w:rFonts w:ascii="宋体" w:hAnsi="宋体"/>
          <w:szCs w:val="24"/>
        </w:rPr>
      </w:pPr>
      <w:r>
        <w:rPr>
          <w:rFonts w:ascii="宋体" w:hAnsi="宋体"/>
          <w:szCs w:val="24"/>
        </w:rPr>
        <w:t>五、公告期限</w:t>
      </w:r>
    </w:p>
    <w:p>
      <w:pPr>
        <w:widowControl/>
        <w:spacing w:line="360" w:lineRule="exact"/>
        <w:ind w:firstLine="420" w:firstLineChars="200"/>
        <w:rPr>
          <w:rFonts w:ascii="宋体" w:hAnsi="宋体"/>
          <w:szCs w:val="24"/>
        </w:rPr>
      </w:pPr>
      <w:r>
        <w:rPr>
          <w:rFonts w:ascii="宋体" w:hAnsi="宋体"/>
          <w:szCs w:val="24"/>
        </w:rPr>
        <w:t>自本公告发布之日起5个工作日。</w:t>
      </w:r>
    </w:p>
    <w:p>
      <w:pPr>
        <w:widowControl/>
        <w:spacing w:line="360" w:lineRule="exact"/>
        <w:ind w:firstLine="420" w:firstLineChars="200"/>
        <w:rPr>
          <w:rFonts w:ascii="宋体" w:hAnsi="宋体"/>
          <w:szCs w:val="24"/>
        </w:rPr>
      </w:pPr>
    </w:p>
    <w:p>
      <w:pPr>
        <w:widowControl/>
        <w:spacing w:line="360" w:lineRule="exact"/>
        <w:rPr>
          <w:rFonts w:ascii="宋体" w:hAnsi="宋体"/>
          <w:szCs w:val="24"/>
        </w:rPr>
      </w:pPr>
      <w:r>
        <w:rPr>
          <w:rFonts w:ascii="宋体" w:hAnsi="宋体"/>
          <w:szCs w:val="24"/>
        </w:rPr>
        <w:t>六、其他补充事宜</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1、本项目实行网上投标，采用电子投标文件。</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2、采购文件澄清/修改事项：</w:t>
      </w:r>
      <w:r>
        <w:rPr>
          <w:rFonts w:hint="eastAsia" w:asciiTheme="minorEastAsia" w:hAnsiTheme="minorEastAsia" w:eastAsiaTheme="minorEastAsia"/>
          <w:b/>
          <w:szCs w:val="24"/>
          <w:u w:val="single"/>
        </w:rPr>
        <w:t>2024年</w:t>
      </w:r>
      <w:r>
        <w:rPr>
          <w:rFonts w:hint="eastAsia" w:asciiTheme="minorEastAsia" w:hAnsiTheme="minorEastAsia" w:eastAsiaTheme="minorEastAsia"/>
          <w:b/>
          <w:szCs w:val="24"/>
          <w:u w:val="single"/>
          <w:lang w:val="en-US" w:eastAsia="zh-CN"/>
        </w:rPr>
        <w:t>07</w:t>
      </w:r>
      <w:r>
        <w:rPr>
          <w:rFonts w:hint="eastAsia" w:asciiTheme="minorEastAsia" w:hAnsiTheme="minorEastAsia" w:eastAsiaTheme="minorEastAsia"/>
          <w:b/>
          <w:szCs w:val="24"/>
          <w:u w:val="single"/>
        </w:rPr>
        <w:t>月</w:t>
      </w:r>
      <w:r>
        <w:rPr>
          <w:rFonts w:hint="eastAsia" w:asciiTheme="minorEastAsia" w:hAnsiTheme="minorEastAsia" w:eastAsiaTheme="minorEastAsia"/>
          <w:b/>
          <w:szCs w:val="24"/>
          <w:u w:val="single"/>
          <w:lang w:val="en-US" w:eastAsia="zh-CN"/>
        </w:rPr>
        <w:t>14</w:t>
      </w:r>
      <w:r>
        <w:rPr>
          <w:rFonts w:hint="eastAsia" w:asciiTheme="minorEastAsia" w:hAnsiTheme="minorEastAsia" w:eastAsiaTheme="minorEastAsia"/>
          <w:b/>
          <w:szCs w:val="24"/>
          <w:u w:val="single"/>
        </w:rPr>
        <w:t>日00:00（北京时间）</w:t>
      </w:r>
      <w:r>
        <w:rPr>
          <w:rFonts w:hint="eastAsia" w:asciiTheme="minorEastAsia" w:hAnsiTheme="minorEastAsia" w:eastAsiaTheme="minorEastAsia"/>
          <w:szCs w:val="24"/>
        </w:rPr>
        <w:t>前，供应商如果认为采购文件存在不明确、不清晰和前后不一致等问题，可登录“深圳政府采购智慧平台用户网上办事子系统（http://zfcg.szggzy.com:8081/TPBidder/memberLogin）”，在“【我的项目】→【项目流程】→【提问】”功能点中填写需澄清内容。</w:t>
      </w:r>
      <w:r>
        <w:rPr>
          <w:rFonts w:hint="eastAsia" w:asciiTheme="minorEastAsia" w:hAnsiTheme="minorEastAsia" w:eastAsiaTheme="minorEastAsia"/>
          <w:b/>
          <w:szCs w:val="24"/>
          <w:u w:val="single"/>
        </w:rPr>
        <w:t>2024年</w:t>
      </w:r>
      <w:r>
        <w:rPr>
          <w:rFonts w:hint="eastAsia" w:asciiTheme="minorEastAsia" w:hAnsiTheme="minorEastAsia" w:eastAsiaTheme="minorEastAsia"/>
          <w:b/>
          <w:szCs w:val="24"/>
          <w:u w:val="single"/>
          <w:lang w:val="en-US" w:eastAsia="zh-CN"/>
        </w:rPr>
        <w:t>07</w:t>
      </w:r>
      <w:r>
        <w:rPr>
          <w:rFonts w:hint="eastAsia" w:asciiTheme="minorEastAsia" w:hAnsiTheme="minorEastAsia" w:eastAsiaTheme="minorEastAsia"/>
          <w:b/>
          <w:szCs w:val="24"/>
          <w:u w:val="single"/>
        </w:rPr>
        <w:t>月</w:t>
      </w:r>
      <w:r>
        <w:rPr>
          <w:rFonts w:hint="eastAsia" w:asciiTheme="minorEastAsia" w:hAnsiTheme="minorEastAsia" w:eastAsiaTheme="minorEastAsia"/>
          <w:b/>
          <w:szCs w:val="24"/>
          <w:u w:val="single"/>
          <w:lang w:val="en-US" w:eastAsia="zh-CN"/>
        </w:rPr>
        <w:t>16</w:t>
      </w:r>
      <w:r>
        <w:rPr>
          <w:rFonts w:hint="eastAsia" w:asciiTheme="minorEastAsia" w:hAnsiTheme="minorEastAsia" w:eastAsiaTheme="minorEastAsia"/>
          <w:b/>
          <w:szCs w:val="24"/>
          <w:u w:val="single"/>
        </w:rPr>
        <w:t>日00:00（北京时间）</w:t>
      </w:r>
      <w:r>
        <w:rPr>
          <w:rFonts w:hint="eastAsia" w:asciiTheme="minorEastAsia" w:hAnsiTheme="minorEastAsia" w:eastAsiaTheme="minorEastAsia"/>
          <w:szCs w:val="24"/>
        </w:rPr>
        <w:t>前将采购文件澄清/修改情况在“【我的项目】→【项目流程】→【答疑澄清文件下载】”中公布，望投标人予以关注。</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重要提示：“提出采购文件澄清要求”不等同于“对采购文件质疑”，供应商提出的澄清要求内容如出现“质疑”字眼，将予以退回。供应商如认为采购文件存在限制性、倾向性、其权益受到损害，应在采购文件公布之日起七个工作日内以书面形式提出质疑。请质疑供应商根据深圳公共资源交易网（ https://www.szggzy.com/fwdh/fwdhzfcg/bszn1/content_203163.html ）所发布的质疑指引、质疑函模板填写质疑函并提交质疑材料。质疑材料可以采用现场或邮寄方式提交，采用邮寄方式提交的，交邮时间应在本公告发布之日起七个工作日内。质疑材料现场提交、邮寄地址：深圳市福田区民田路171号新华保险大厦903深圳市中正招标有限公司。质疑咨询电话：0755-83026699。根据《深圳经济特区政府采购条例》第四十二条“供应商投诉的事项应当是经过质疑的事项”的规定，未经正式质疑的，将影响供应商行使向财政部门提起投诉的权利。）</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 xml:space="preserve">3、深圳市中正招标有限公司有权对投标人就本项目要求提供的相关证明资料（原件）进行审查。供应商提供虚假资料被查实的，则可能面临被取消本项目中标资格、列入不良行为记录名单和三年内禁止参与深圳市政府采购活动的风险。 </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4、本招标公告及本项目招标文件所涉及的时间一律为北京时间。投标人有义务在招标活动期间浏览深圳公共资源交易网（</w:t>
      </w:r>
      <w:r>
        <w:rPr>
          <w:rFonts w:asciiTheme="minorEastAsia" w:hAnsiTheme="minorEastAsia" w:eastAsiaTheme="minorEastAsia"/>
          <w:szCs w:val="24"/>
        </w:rPr>
        <w:t>https://www.szggzy.com</w:t>
      </w:r>
      <w:r>
        <w:rPr>
          <w:rFonts w:hint="eastAsia" w:asciiTheme="minorEastAsia" w:hAnsiTheme="minorEastAsia" w:eastAsiaTheme="minorEastAsia"/>
          <w:szCs w:val="24"/>
        </w:rPr>
        <w:t>），在深圳公共资源交易网上公布的与本次招标项目有关的信息视为已送达各投标人。</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5、本项目不需要投标保证金</w:t>
      </w:r>
      <w:r>
        <w:rPr>
          <w:rFonts w:asciiTheme="minorEastAsia" w:hAnsiTheme="minorEastAsia" w:eastAsiaTheme="minorEastAsia"/>
          <w:szCs w:val="24"/>
        </w:rPr>
        <w:t>。</w:t>
      </w:r>
    </w:p>
    <w:p>
      <w:pPr>
        <w:widowControl/>
        <w:spacing w:line="360" w:lineRule="exact"/>
        <w:ind w:firstLine="424" w:firstLineChars="202"/>
        <w:rPr>
          <w:rFonts w:ascii="宋体" w:hAnsi="宋体"/>
          <w:szCs w:val="24"/>
        </w:rPr>
      </w:pPr>
    </w:p>
    <w:p>
      <w:pPr>
        <w:widowControl/>
        <w:spacing w:line="360" w:lineRule="exact"/>
        <w:rPr>
          <w:rFonts w:ascii="宋体" w:hAnsi="宋体"/>
          <w:szCs w:val="24"/>
        </w:rPr>
      </w:pPr>
      <w:r>
        <w:rPr>
          <w:rFonts w:ascii="宋体" w:hAnsi="宋体"/>
          <w:szCs w:val="24"/>
        </w:rPr>
        <w:t>七、对本次招标提出询问，请按以下方式联系。</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1、</w:t>
      </w:r>
      <w:r>
        <w:rPr>
          <w:rFonts w:asciiTheme="minorEastAsia" w:hAnsiTheme="minorEastAsia" w:eastAsiaTheme="minorEastAsia"/>
          <w:szCs w:val="24"/>
        </w:rPr>
        <w:t xml:space="preserve">采购人信息 </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名称：</w:t>
      </w:r>
      <w:r>
        <w:rPr>
          <w:rFonts w:hint="eastAsia" w:ascii="宋体" w:hAnsi="宋体"/>
        </w:rPr>
        <w:t>深圳市公安局轨道交通分局</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2、</w:t>
      </w:r>
      <w:r>
        <w:rPr>
          <w:rFonts w:asciiTheme="minorEastAsia" w:hAnsiTheme="minorEastAsia" w:eastAsiaTheme="minorEastAsia"/>
          <w:szCs w:val="24"/>
        </w:rPr>
        <w:t xml:space="preserve">采购代理机构信息 </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 xml:space="preserve">名称：深圳市中正招标有限公司 </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地址：深圳市福田区</w:t>
      </w:r>
      <w:r>
        <w:rPr>
          <w:rFonts w:hint="eastAsia" w:asciiTheme="minorEastAsia" w:hAnsiTheme="minorEastAsia" w:eastAsiaTheme="minorEastAsia"/>
          <w:szCs w:val="24"/>
        </w:rPr>
        <w:t>民田路171号新华保险大厦903</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联系方式：0755-83026699</w:t>
      </w:r>
    </w:p>
    <w:p>
      <w:pPr>
        <w:spacing w:line="360" w:lineRule="exact"/>
        <w:ind w:firstLine="424" w:firstLineChars="202"/>
        <w:rPr>
          <w:rFonts w:asciiTheme="minorEastAsia" w:hAnsiTheme="minorEastAsia" w:eastAsiaTheme="minorEastAsia"/>
          <w:szCs w:val="24"/>
        </w:rPr>
      </w:pPr>
      <w:r>
        <w:rPr>
          <w:rFonts w:hint="eastAsia" w:asciiTheme="minorEastAsia" w:hAnsiTheme="minorEastAsia" w:eastAsiaTheme="minorEastAsia"/>
          <w:szCs w:val="24"/>
        </w:rPr>
        <w:t>3、</w:t>
      </w:r>
      <w:r>
        <w:rPr>
          <w:rFonts w:asciiTheme="minorEastAsia" w:hAnsiTheme="minorEastAsia" w:eastAsiaTheme="minorEastAsia"/>
          <w:szCs w:val="24"/>
        </w:rPr>
        <w:t xml:space="preserve">项目联系方式 </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项目联系人：</w:t>
      </w:r>
      <w:r>
        <w:rPr>
          <w:rFonts w:hint="eastAsia" w:asciiTheme="minorEastAsia" w:hAnsiTheme="minorEastAsia" w:eastAsiaTheme="minorEastAsia"/>
          <w:szCs w:val="24"/>
        </w:rPr>
        <w:t>李先生</w:t>
      </w:r>
      <w:r>
        <w:rPr>
          <w:rFonts w:asciiTheme="minorEastAsia" w:hAnsiTheme="minorEastAsia" w:eastAsiaTheme="minorEastAsia"/>
          <w:szCs w:val="24"/>
        </w:rPr>
        <w:t xml:space="preserve"> </w:t>
      </w:r>
    </w:p>
    <w:p>
      <w:pPr>
        <w:spacing w:line="360" w:lineRule="exact"/>
        <w:ind w:firstLine="424" w:firstLineChars="202"/>
        <w:rPr>
          <w:rFonts w:asciiTheme="minorEastAsia" w:hAnsiTheme="minorEastAsia" w:eastAsiaTheme="minorEastAsia"/>
          <w:szCs w:val="24"/>
        </w:rPr>
      </w:pPr>
      <w:r>
        <w:rPr>
          <w:rFonts w:asciiTheme="minorEastAsia" w:hAnsiTheme="minorEastAsia" w:eastAsiaTheme="minorEastAsia"/>
          <w:szCs w:val="24"/>
        </w:rPr>
        <w:t>电话：</w:t>
      </w:r>
      <w:r>
        <w:rPr>
          <w:rFonts w:hint="eastAsia" w:asciiTheme="minorEastAsia" w:hAnsiTheme="minorEastAsia" w:eastAsiaTheme="minorEastAsia"/>
          <w:szCs w:val="24"/>
        </w:rPr>
        <w:t>0755-83026699</w:t>
      </w:r>
    </w:p>
    <w:p>
      <w:pPr>
        <w:spacing w:line="360" w:lineRule="exact"/>
        <w:ind w:firstLine="424" w:firstLineChars="202"/>
        <w:rPr>
          <w:rFonts w:asciiTheme="minorEastAsia" w:hAnsiTheme="minorEastAsia" w:eastAsiaTheme="minorEastAsia"/>
          <w:szCs w:val="24"/>
        </w:rPr>
      </w:pPr>
    </w:p>
    <w:p>
      <w:pPr>
        <w:widowControl/>
        <w:spacing w:line="360" w:lineRule="exact"/>
        <w:ind w:firstLine="484" w:firstLineChars="202"/>
        <w:jc w:val="right"/>
        <w:rPr>
          <w:rFonts w:ascii="宋体" w:hAnsi="宋体"/>
          <w:sz w:val="24"/>
          <w:szCs w:val="24"/>
        </w:rPr>
      </w:pPr>
      <w:r>
        <w:rPr>
          <w:rFonts w:hint="eastAsia" w:ascii="宋体" w:hAnsi="宋体"/>
          <w:sz w:val="24"/>
          <w:szCs w:val="24"/>
        </w:rPr>
        <w:t>深圳市中正招标有限公司</w:t>
      </w:r>
    </w:p>
    <w:p>
      <w:pPr>
        <w:widowControl/>
        <w:spacing w:line="360" w:lineRule="exact"/>
        <w:ind w:firstLine="484" w:firstLineChars="202"/>
        <w:jc w:val="right"/>
        <w:rPr>
          <w:rFonts w:ascii="宋体" w:hAnsi="宋体"/>
          <w:szCs w:val="21"/>
        </w:rPr>
      </w:pPr>
      <w:r>
        <w:rPr>
          <w:rFonts w:hint="eastAsia" w:ascii="宋体" w:hAnsi="宋体"/>
          <w:sz w:val="24"/>
          <w:szCs w:val="24"/>
        </w:rPr>
        <w:t>2024年</w:t>
      </w:r>
      <w:r>
        <w:rPr>
          <w:rFonts w:hint="eastAsia" w:ascii="宋体" w:hAnsi="宋体"/>
          <w:sz w:val="24"/>
          <w:szCs w:val="24"/>
          <w:lang w:val="en-US" w:eastAsia="zh-CN"/>
        </w:rPr>
        <w:t>07</w:t>
      </w:r>
      <w:r>
        <w:rPr>
          <w:rFonts w:hint="eastAsia" w:ascii="宋体" w:hAnsi="宋体"/>
          <w:sz w:val="24"/>
          <w:szCs w:val="24"/>
        </w:rPr>
        <w:t>月</w:t>
      </w:r>
      <w:r>
        <w:rPr>
          <w:rFonts w:hint="eastAsia" w:ascii="宋体" w:hAnsi="宋体"/>
          <w:sz w:val="24"/>
          <w:szCs w:val="24"/>
          <w:lang w:val="en-US" w:eastAsia="zh-CN"/>
        </w:rPr>
        <w:t>08</w:t>
      </w:r>
      <w:r>
        <w:rPr>
          <w:rFonts w:hint="eastAsia" w:ascii="宋体" w:hAnsi="宋体"/>
          <w:sz w:val="24"/>
          <w:szCs w:val="24"/>
        </w:rPr>
        <w:t>日</w:t>
      </w:r>
      <w:bookmarkEnd w:id="0"/>
      <w:bookmarkEnd w:id="1"/>
    </w:p>
    <w:p>
      <w:pPr>
        <w:spacing w:line="400" w:lineRule="exact"/>
        <w:jc w:val="right"/>
        <w:rPr>
          <w:rFonts w:ascii="宋体" w:hAnsi="宋体"/>
          <w:szCs w:val="21"/>
        </w:rPr>
      </w:pPr>
    </w:p>
    <w:p>
      <w:pPr>
        <w:spacing w:line="400" w:lineRule="exact"/>
        <w:jc w:val="right"/>
        <w:rPr>
          <w:rFonts w:ascii="宋体" w:hAnsi="宋体"/>
          <w:szCs w:val="21"/>
        </w:rPr>
      </w:pPr>
    </w:p>
    <w:p>
      <w:pPr>
        <w:spacing w:line="400" w:lineRule="exact"/>
        <w:jc w:val="right"/>
        <w:rPr>
          <w:rFonts w:ascii="宋体" w:hAnsi="宋体"/>
          <w:szCs w:val="21"/>
        </w:rPr>
      </w:pPr>
    </w:p>
    <w:p>
      <w:pPr>
        <w:rPr>
          <w:rFonts w:ascii="宋体" w:hAnsi="宋体"/>
          <w:b/>
          <w:bCs/>
          <w:kern w:val="0"/>
          <w:sz w:val="24"/>
          <w:szCs w:val="20"/>
        </w:rPr>
      </w:pPr>
      <w:r>
        <w:rPr>
          <w:rFonts w:hint="eastAsia" w:ascii="宋体" w:hAnsi="宋体"/>
          <w:b/>
          <w:bCs/>
          <w:kern w:val="0"/>
          <w:sz w:val="24"/>
          <w:szCs w:val="20"/>
        </w:rPr>
        <w:br w:type="page"/>
      </w:r>
    </w:p>
    <w:p>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pPr>
        <w:keepNext/>
        <w:keepLines/>
        <w:adjustRightInd w:val="0"/>
        <w:spacing w:before="156" w:beforeLines="50" w:after="156" w:afterLines="50"/>
        <w:jc w:val="center"/>
        <w:textAlignment w:val="baseline"/>
        <w:outlineLvl w:val="1"/>
        <w:rPr>
          <w:rFonts w:ascii="宋体" w:hAnsi="宋体"/>
          <w:b/>
          <w:bCs/>
          <w:kern w:val="0"/>
          <w:sz w:val="28"/>
          <w:szCs w:val="28"/>
        </w:rPr>
      </w:pPr>
      <w:bookmarkStart w:id="2" w:name="_Toc60631620"/>
      <w:bookmarkStart w:id="3" w:name="_Toc73521547"/>
      <w:bookmarkStart w:id="4" w:name="_Toc101074876"/>
      <w:bookmarkStart w:id="5" w:name="_Toc73518117"/>
      <w:bookmarkStart w:id="6" w:name="_Toc100052364"/>
      <w:bookmarkStart w:id="7" w:name="_Toc60560625"/>
      <w:bookmarkStart w:id="8" w:name="_Toc73521635"/>
      <w:bookmarkStart w:id="9" w:name="_Toc73517639"/>
      <w:r>
        <w:rPr>
          <w:rFonts w:hint="eastAsia" w:ascii="宋体" w:hAnsi="宋体"/>
          <w:b/>
          <w:bCs/>
          <w:kern w:val="0"/>
          <w:sz w:val="28"/>
          <w:szCs w:val="28"/>
        </w:rPr>
        <w:t>一、对通用条款的补充内容</w:t>
      </w:r>
    </w:p>
    <w:bookmarkEnd w:id="2"/>
    <w:bookmarkEnd w:id="3"/>
    <w:bookmarkEnd w:id="4"/>
    <w:bookmarkEnd w:id="5"/>
    <w:bookmarkEnd w:id="6"/>
    <w:bookmarkEnd w:id="7"/>
    <w:bookmarkEnd w:id="8"/>
    <w:bookmarkEnd w:id="9"/>
    <w:tbl>
      <w:tblPr>
        <w:tblStyle w:val="43"/>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pPr>
              <w:jc w:val="center"/>
              <w:rPr>
                <w:rFonts w:ascii="宋体" w:hAnsi="宋体"/>
                <w:b/>
                <w:bCs/>
                <w:szCs w:val="24"/>
              </w:rPr>
            </w:pPr>
            <w:r>
              <w:rPr>
                <w:rFonts w:hint="eastAsia" w:ascii="宋体" w:hAnsi="宋体"/>
                <w:b/>
                <w:bCs/>
                <w:szCs w:val="24"/>
              </w:rPr>
              <w:t>序号</w:t>
            </w:r>
          </w:p>
        </w:tc>
        <w:tc>
          <w:tcPr>
            <w:tcW w:w="2160" w:type="dxa"/>
            <w:vAlign w:val="center"/>
          </w:tcPr>
          <w:p>
            <w:pPr>
              <w:jc w:val="center"/>
              <w:rPr>
                <w:rFonts w:ascii="宋体" w:hAnsi="宋体"/>
                <w:b/>
                <w:bCs/>
                <w:szCs w:val="24"/>
              </w:rPr>
            </w:pPr>
            <w:r>
              <w:rPr>
                <w:rFonts w:hint="eastAsia" w:ascii="宋体" w:hAnsi="宋体"/>
                <w:b/>
                <w:bCs/>
                <w:szCs w:val="24"/>
              </w:rPr>
              <w:t>内   容</w:t>
            </w:r>
          </w:p>
        </w:tc>
        <w:tc>
          <w:tcPr>
            <w:tcW w:w="5400" w:type="dxa"/>
            <w:vAlign w:val="center"/>
          </w:tcPr>
          <w:p>
            <w:pPr>
              <w:jc w:val="center"/>
              <w:rPr>
                <w:rFonts w:ascii="宋体" w:hAnsi="宋体"/>
                <w:b/>
                <w:bCs/>
                <w:szCs w:val="24"/>
              </w:rPr>
            </w:pPr>
            <w:r>
              <w:rPr>
                <w:rFonts w:hint="eastAsia" w:ascii="宋体" w:hAnsi="宋体"/>
                <w:b/>
                <w:bCs/>
                <w:szCs w:val="24"/>
              </w:rPr>
              <w:t>规      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pPr>
              <w:jc w:val="center"/>
              <w:rPr>
                <w:rFonts w:ascii="宋体" w:hAnsi="宋体"/>
                <w:szCs w:val="24"/>
              </w:rPr>
            </w:pPr>
            <w:r>
              <w:rPr>
                <w:rFonts w:hint="eastAsia" w:ascii="宋体" w:hAnsi="宋体"/>
                <w:szCs w:val="24"/>
              </w:rPr>
              <w:t>1</w:t>
            </w:r>
          </w:p>
        </w:tc>
        <w:tc>
          <w:tcPr>
            <w:tcW w:w="2160" w:type="dxa"/>
            <w:vAlign w:val="center"/>
          </w:tcPr>
          <w:p>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pPr>
              <w:jc w:val="center"/>
              <w:rPr>
                <w:rFonts w:ascii="宋体" w:hAnsi="宋体"/>
                <w:szCs w:val="24"/>
              </w:rPr>
            </w:pPr>
            <w:r>
              <w:rPr>
                <w:rFonts w:hint="eastAsia" w:ascii="宋体" w:hAnsi="宋体"/>
                <w:szCs w:val="24"/>
              </w:rPr>
              <w:t>2</w:t>
            </w:r>
          </w:p>
        </w:tc>
        <w:tc>
          <w:tcPr>
            <w:tcW w:w="2160" w:type="dxa"/>
            <w:vAlign w:val="center"/>
          </w:tcPr>
          <w:p>
            <w:pPr>
              <w:jc w:val="center"/>
              <w:rPr>
                <w:rFonts w:ascii="宋体" w:hAnsi="宋体"/>
                <w:szCs w:val="24"/>
              </w:rPr>
            </w:pPr>
            <w:r>
              <w:rPr>
                <w:rFonts w:hint="eastAsia" w:ascii="宋体" w:hAnsi="宋体"/>
                <w:szCs w:val="24"/>
              </w:rPr>
              <w:t>投标有效期</w:t>
            </w:r>
          </w:p>
        </w:tc>
        <w:tc>
          <w:tcPr>
            <w:tcW w:w="5400" w:type="dxa"/>
            <w:vAlign w:val="center"/>
          </w:tcPr>
          <w:p>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pPr>
              <w:jc w:val="center"/>
              <w:rPr>
                <w:rFonts w:ascii="宋体" w:hAnsi="宋体"/>
                <w:szCs w:val="24"/>
              </w:rPr>
            </w:pPr>
            <w:r>
              <w:rPr>
                <w:rFonts w:hint="eastAsia" w:ascii="宋体" w:hAnsi="宋体"/>
                <w:szCs w:val="24"/>
              </w:rPr>
              <w:t>3</w:t>
            </w:r>
          </w:p>
        </w:tc>
        <w:tc>
          <w:tcPr>
            <w:tcW w:w="2160" w:type="dxa"/>
            <w:vAlign w:val="center"/>
          </w:tcPr>
          <w:p>
            <w:pPr>
              <w:jc w:val="center"/>
              <w:rPr>
                <w:rFonts w:ascii="宋体" w:hAnsi="宋体"/>
                <w:szCs w:val="24"/>
              </w:rPr>
            </w:pPr>
            <w:r>
              <w:rPr>
                <w:rFonts w:hint="eastAsia" w:ascii="宋体" w:hAnsi="宋体"/>
                <w:szCs w:val="24"/>
              </w:rPr>
              <w:t>投标人的替代方案</w:t>
            </w:r>
          </w:p>
        </w:tc>
        <w:tc>
          <w:tcPr>
            <w:tcW w:w="5400" w:type="dxa"/>
            <w:vAlign w:val="center"/>
          </w:tcPr>
          <w:p>
            <w:pPr>
              <w:rPr>
                <w:rFonts w:ascii="宋体" w:hAnsi="宋体"/>
                <w:szCs w:val="24"/>
              </w:rPr>
            </w:pPr>
            <w:r>
              <w:rPr>
                <w:rFonts w:hint="eastAsia" w:ascii="宋体" w:hAnsi="宋体"/>
                <w:szCs w:val="24"/>
              </w:rPr>
              <w:t>不允许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pPr>
              <w:jc w:val="center"/>
              <w:rPr>
                <w:rFonts w:ascii="宋体" w:hAnsi="宋体"/>
                <w:szCs w:val="24"/>
              </w:rPr>
            </w:pPr>
            <w:r>
              <w:rPr>
                <w:rFonts w:hint="eastAsia" w:ascii="宋体" w:hAnsi="宋体"/>
                <w:szCs w:val="24"/>
              </w:rPr>
              <w:t>4</w:t>
            </w:r>
          </w:p>
        </w:tc>
        <w:tc>
          <w:tcPr>
            <w:tcW w:w="2160" w:type="dxa"/>
            <w:vAlign w:val="center"/>
          </w:tcPr>
          <w:p>
            <w:pPr>
              <w:jc w:val="center"/>
              <w:rPr>
                <w:rFonts w:ascii="宋体" w:hAnsi="宋体"/>
                <w:szCs w:val="24"/>
              </w:rPr>
            </w:pPr>
            <w:r>
              <w:rPr>
                <w:rFonts w:hint="eastAsia" w:ascii="宋体" w:hAnsi="宋体"/>
                <w:szCs w:val="24"/>
              </w:rPr>
              <w:t>投标文件的投递</w:t>
            </w:r>
          </w:p>
        </w:tc>
        <w:tc>
          <w:tcPr>
            <w:tcW w:w="5400" w:type="dxa"/>
            <w:vAlign w:val="center"/>
          </w:tcPr>
          <w:p>
            <w:pPr>
              <w:spacing w:line="360" w:lineRule="exact"/>
              <w:rPr>
                <w:rFonts w:ascii="宋体" w:hAnsi="宋体"/>
              </w:rPr>
            </w:pPr>
            <w:r>
              <w:rPr>
                <w:rFonts w:hint="eastAsia" w:ascii="宋体" w:hAnsi="宋体"/>
              </w:rPr>
              <w:t>本项目实行网上投标，投标人必须在招标文件规定的投标截止时间前登录“深圳政府采购智慧平台用户网上办事子系统”，使用“【我的项目】→【项目流程】→【递交投标(应答)文件】</w:t>
            </w:r>
            <w:r>
              <w:rPr>
                <w:rFonts w:ascii="宋体" w:hAnsi="宋体"/>
              </w:rPr>
              <w:t>”功能</w:t>
            </w:r>
            <w:r>
              <w:rPr>
                <w:rFonts w:hint="eastAsia" w:ascii="宋体" w:hAnsi="宋体"/>
              </w:rPr>
              <w:t>点，</w:t>
            </w:r>
            <w:r>
              <w:rPr>
                <w:rFonts w:ascii="宋体" w:hAnsi="宋体"/>
              </w:rPr>
              <w:t>将编制好的电子投标文件上传，投标文件大小不得超过</w:t>
            </w:r>
            <w:r>
              <w:rPr>
                <w:rFonts w:hint="eastAsia" w:ascii="宋体" w:hAnsi="宋体"/>
              </w:rPr>
              <w:t>20</w:t>
            </w:r>
            <w:r>
              <w:rPr>
                <w:rFonts w:ascii="宋体" w:hAnsi="宋体"/>
              </w:rPr>
              <w:t>0MB</w:t>
            </w:r>
            <w:r>
              <w:rPr>
                <w:rFonts w:hint="eastAsia" w:ascii="宋体" w:hAnsi="宋体" w:cs="宋体"/>
                <w:szCs w:val="21"/>
              </w:rPr>
              <w:t>，单个节点文件不能超过</w:t>
            </w:r>
            <w:r>
              <w:rPr>
                <w:rFonts w:ascii="宋体" w:hAnsi="宋体" w:cs="宋体"/>
                <w:szCs w:val="21"/>
              </w:rPr>
              <w:t>50M</w:t>
            </w:r>
            <w:r>
              <w:rPr>
                <w:rFonts w:hint="eastAsia" w:ascii="宋体" w:hAnsi="宋体" w:cs="宋体"/>
                <w:szCs w:val="21"/>
              </w:rPr>
              <w:t>B</w:t>
            </w:r>
            <w:r>
              <w:rPr>
                <w:rFonts w:hint="eastAsia" w:ascii="宋体" w:hAnsi="宋体"/>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pPr>
              <w:jc w:val="center"/>
              <w:rPr>
                <w:rFonts w:ascii="宋体" w:hAnsi="宋体"/>
                <w:szCs w:val="24"/>
              </w:rPr>
            </w:pPr>
            <w:r>
              <w:rPr>
                <w:rFonts w:hint="eastAsia" w:ascii="宋体" w:hAnsi="宋体"/>
                <w:szCs w:val="24"/>
              </w:rPr>
              <w:t>5</w:t>
            </w:r>
          </w:p>
        </w:tc>
        <w:tc>
          <w:tcPr>
            <w:tcW w:w="2160" w:type="dxa"/>
            <w:vAlign w:val="center"/>
          </w:tcPr>
          <w:p>
            <w:pPr>
              <w:jc w:val="center"/>
              <w:rPr>
                <w:rFonts w:ascii="宋体" w:hAnsi="宋体"/>
                <w:szCs w:val="24"/>
              </w:rPr>
            </w:pPr>
            <w:r>
              <w:rPr>
                <w:rFonts w:hint="eastAsia" w:ascii="宋体" w:hAnsi="宋体"/>
                <w:szCs w:val="24"/>
              </w:rPr>
              <w:t>中标服务费</w:t>
            </w:r>
          </w:p>
        </w:tc>
        <w:tc>
          <w:tcPr>
            <w:tcW w:w="5400" w:type="dxa"/>
            <w:vAlign w:val="center"/>
          </w:tcPr>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0  </w:t>
            </w:r>
            <w:r>
              <w:rPr>
                <w:rFonts w:hint="eastAsia" w:asciiTheme="minorEastAsia" w:hAnsiTheme="minorEastAsia" w:eastAsiaTheme="minorEastAsia"/>
                <w:szCs w:val="20"/>
              </w:rPr>
              <w:t>%，最低收取人民币5000元。</w:t>
            </w:r>
          </w:p>
          <w:p>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%，收取中标服务费：人民币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pPr>
              <w:jc w:val="center"/>
              <w:rPr>
                <w:rFonts w:ascii="宋体" w:hAnsi="宋体"/>
                <w:szCs w:val="24"/>
              </w:rPr>
            </w:pPr>
            <w:r>
              <w:rPr>
                <w:rFonts w:hint="eastAsia" w:ascii="宋体" w:hAnsi="宋体"/>
                <w:szCs w:val="24"/>
              </w:rPr>
              <w:t>6</w:t>
            </w:r>
          </w:p>
        </w:tc>
        <w:tc>
          <w:tcPr>
            <w:tcW w:w="2160" w:type="dxa"/>
            <w:vAlign w:val="center"/>
          </w:tcPr>
          <w:p>
            <w:pPr>
              <w:jc w:val="center"/>
              <w:rPr>
                <w:rFonts w:ascii="宋体" w:hAnsi="宋体"/>
                <w:szCs w:val="24"/>
              </w:rPr>
            </w:pPr>
            <w:r>
              <w:rPr>
                <w:rFonts w:hint="eastAsia" w:ascii="宋体" w:hAnsi="宋体"/>
                <w:szCs w:val="24"/>
              </w:rPr>
              <w:t>履约保证金</w:t>
            </w:r>
          </w:p>
        </w:tc>
        <w:tc>
          <w:tcPr>
            <w:tcW w:w="5400" w:type="dxa"/>
            <w:vAlign w:val="center"/>
          </w:tcPr>
          <w:p>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pPr>
        <w:rPr>
          <w:rFonts w:ascii="Times New Roman" w:hAnsi="Times New Roman"/>
          <w:b/>
          <w:szCs w:val="24"/>
        </w:rPr>
      </w:pPr>
    </w:p>
    <w:p>
      <w:pPr>
        <w:rPr>
          <w:sz w:val="28"/>
          <w:szCs w:val="28"/>
        </w:rPr>
      </w:pPr>
      <w:bookmarkStart w:id="10" w:name="_Toc128884461"/>
      <w:r>
        <w:rPr>
          <w:rFonts w:hint="eastAsia"/>
          <w:sz w:val="28"/>
          <w:szCs w:val="28"/>
        </w:rPr>
        <w:br w:type="page"/>
      </w:r>
    </w:p>
    <w:p>
      <w:pPr>
        <w:pStyle w:val="5"/>
        <w:spacing w:before="156" w:beforeLines="50" w:after="156" w:afterLines="50"/>
      </w:pPr>
      <w:r>
        <w:rPr>
          <w:rFonts w:hint="eastAsia"/>
          <w:sz w:val="28"/>
          <w:szCs w:val="28"/>
        </w:rPr>
        <w:t>二、实质性条款</w:t>
      </w:r>
    </w:p>
    <w:tbl>
      <w:tblPr>
        <w:tblStyle w:val="43"/>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pPr>
              <w:adjustRightInd w:val="0"/>
              <w:snapToGrid w:val="0"/>
              <w:spacing w:line="360" w:lineRule="auto"/>
              <w:jc w:val="center"/>
              <w:rPr>
                <w:rFonts w:ascii="宋体" w:hAnsi="宋体" w:cs="宋体"/>
                <w:kern w:val="0"/>
                <w:szCs w:val="21"/>
              </w:rPr>
            </w:pPr>
            <w:r>
              <w:rPr>
                <w:rFonts w:hint="eastAsia" w:ascii="宋体" w:hAnsi="宋体" w:cs="宋体"/>
                <w:kern w:val="0"/>
                <w:szCs w:val="21"/>
              </w:rPr>
              <w:t>序号</w:t>
            </w:r>
          </w:p>
        </w:tc>
        <w:tc>
          <w:tcPr>
            <w:tcW w:w="7658" w:type="dxa"/>
            <w:vAlign w:val="center"/>
          </w:tcPr>
          <w:p>
            <w:pPr>
              <w:adjustRightInd w:val="0"/>
              <w:snapToGrid w:val="0"/>
              <w:spacing w:line="360" w:lineRule="auto"/>
              <w:jc w:val="center"/>
              <w:rPr>
                <w:rFonts w:ascii="宋体" w:hAnsi="宋体" w:cs="宋体"/>
                <w:kern w:val="0"/>
                <w:szCs w:val="21"/>
              </w:rPr>
            </w:pPr>
            <w:r>
              <w:rPr>
                <w:rFonts w:hint="eastAsia" w:ascii="宋体" w:hAnsi="宋体" w:cs="宋体"/>
                <w:kern w:val="0"/>
                <w:szCs w:val="21"/>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pPr>
              <w:adjustRightInd w:val="0"/>
              <w:snapToGrid w:val="0"/>
              <w:spacing w:line="360" w:lineRule="auto"/>
              <w:jc w:val="center"/>
              <w:rPr>
                <w:rFonts w:ascii="宋体" w:hAnsi="宋体" w:cs="宋体"/>
                <w:kern w:val="0"/>
                <w:szCs w:val="21"/>
              </w:rPr>
            </w:pPr>
            <w:r>
              <w:rPr>
                <w:rFonts w:hint="eastAsia" w:ascii="宋体" w:hAnsi="宋体" w:cs="宋体"/>
                <w:kern w:val="0"/>
                <w:szCs w:val="21"/>
              </w:rPr>
              <w:t>1</w:t>
            </w:r>
          </w:p>
        </w:tc>
        <w:tc>
          <w:tcPr>
            <w:tcW w:w="7658" w:type="dxa"/>
            <w:vAlign w:val="center"/>
          </w:tcPr>
          <w:p>
            <w:pPr>
              <w:pStyle w:val="16"/>
              <w:spacing w:line="360" w:lineRule="auto"/>
              <w:rPr>
                <w:rFonts w:hAnsi="宋体" w:cs="宋体"/>
                <w:sz w:val="21"/>
                <w:szCs w:val="21"/>
              </w:rPr>
            </w:pPr>
            <w:r>
              <w:rPr>
                <w:rFonts w:hint="eastAsia" w:hAnsi="宋体" w:cs="宋体"/>
                <w:sz w:val="21"/>
                <w:szCs w:val="21"/>
              </w:rPr>
              <w:t>备品备件服务：中标人应根据合同运维清单中的设备提前采购相关常用及易耗型备品备件并存放至采购人指定仓库，保障系统和设备的正常运行，且所提供的备品备件技术参数不得低于现使用设备的技术参数指标。中标人如因未能及时提供备品备件更换造成本运维项目系统设备故障不能正常运行的，中标人将承担相应违约赔偿责任，发生第一次时中标人应向采购人支付合同总价款5%的违约金，发生第二次时中标人应向采购人支付合同总价款10%的违约金，发生第三次时中标人应向采购人支付合同总价款20%的违约金且采购人有权解除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pPr>
              <w:adjustRightInd w:val="0"/>
              <w:snapToGrid w:val="0"/>
              <w:spacing w:line="360" w:lineRule="auto"/>
              <w:jc w:val="center"/>
              <w:rPr>
                <w:rFonts w:ascii="宋体" w:hAnsi="宋体" w:cs="宋体"/>
                <w:kern w:val="0"/>
                <w:szCs w:val="21"/>
              </w:rPr>
            </w:pPr>
            <w:r>
              <w:rPr>
                <w:rFonts w:hint="eastAsia" w:ascii="宋体" w:hAnsi="宋体" w:cs="宋体"/>
                <w:kern w:val="0"/>
                <w:szCs w:val="21"/>
              </w:rPr>
              <w:t>2</w:t>
            </w:r>
          </w:p>
        </w:tc>
        <w:tc>
          <w:tcPr>
            <w:tcW w:w="7658" w:type="dxa"/>
            <w:vAlign w:val="center"/>
          </w:tcPr>
          <w:p>
            <w:pPr>
              <w:pStyle w:val="16"/>
              <w:spacing w:line="360" w:lineRule="auto"/>
              <w:rPr>
                <w:rFonts w:hAnsi="宋体" w:cs="宋体"/>
                <w:sz w:val="21"/>
                <w:szCs w:val="21"/>
              </w:rPr>
            </w:pPr>
            <w:r>
              <w:rPr>
                <w:rFonts w:hint="eastAsia" w:hAnsi="宋体" w:cs="宋体"/>
                <w:sz w:val="21"/>
                <w:szCs w:val="21"/>
              </w:rPr>
              <w:t>落实国家关于安全生产法、特种作业规定和采购人管理方（含地铁运营方）管理要求：投标人参与本项目运维服务项目团队中至少配备1名具有特种作业操作证（作业类别：电工作业）和1名具有特种作业操作证（作业类别：高处作业）的人员，如同一人同时符合两项证书要求的，可以重复计算。</w:t>
            </w:r>
          </w:p>
          <w:p>
            <w:pPr>
              <w:pStyle w:val="16"/>
              <w:spacing w:line="360" w:lineRule="auto"/>
              <w:rPr>
                <w:rFonts w:hAnsi="宋体" w:cs="宋体"/>
                <w:sz w:val="21"/>
                <w:szCs w:val="21"/>
              </w:rPr>
            </w:pPr>
            <w:r>
              <w:rPr>
                <w:rFonts w:hint="eastAsia" w:hAnsi="宋体" w:cs="宋体"/>
                <w:sz w:val="21"/>
                <w:szCs w:val="21"/>
              </w:rPr>
              <w:t>1）要求提供通过投标人缴纳的近三个月(2024年4月-6月)的任意一个月的社保证明作为本单位员工的证明依据。若投标人成立不足一个月的，需提供成立情况说明函（格式自拟），无需提供相关人员社保，亦视为符合；若为退休返聘人员，需提供说明函（格式自拟），无需提供相关人员社保，亦视为符合。</w:t>
            </w:r>
          </w:p>
          <w:p>
            <w:pPr>
              <w:pStyle w:val="16"/>
              <w:spacing w:line="360" w:lineRule="auto"/>
              <w:rPr>
                <w:rFonts w:hAnsi="宋体" w:cs="宋体"/>
                <w:sz w:val="21"/>
                <w:szCs w:val="21"/>
              </w:rPr>
            </w:pPr>
            <w:r>
              <w:rPr>
                <w:rFonts w:hint="eastAsia" w:hAnsi="宋体" w:cs="宋体"/>
                <w:sz w:val="21"/>
                <w:szCs w:val="21"/>
              </w:rPr>
              <w:t>2）要求提供上述员工在有效期内的相关证书扫描件或复印件和官方网站（中华人民共和国应急管理部--特种作业操作证及安全生产知识和管理能力考核合格信息查询平台（https://cx.mem.gov.cn/special?index=0）查询截图，原件备查。</w:t>
            </w:r>
          </w:p>
          <w:p>
            <w:pPr>
              <w:pStyle w:val="16"/>
              <w:spacing w:line="360" w:lineRule="auto"/>
              <w:rPr>
                <w:rFonts w:hAnsi="宋体" w:cs="宋体"/>
                <w:sz w:val="21"/>
                <w:szCs w:val="21"/>
              </w:rPr>
            </w:pPr>
            <w:r>
              <w:rPr>
                <w:rFonts w:hint="eastAsia" w:hAnsi="宋体" w:cs="宋体"/>
                <w:sz w:val="21"/>
                <w:szCs w:val="21"/>
              </w:rPr>
              <w:t>3）投标人所提供的上述证明资料因模糊、不清晰造成评审专家无法判断的，或投标文件中无相应证明资料的，按不满足本项要求处理。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5" w:type="dxa"/>
            <w:vAlign w:val="center"/>
          </w:tcPr>
          <w:p>
            <w:pPr>
              <w:adjustRightInd w:val="0"/>
              <w:snapToGrid w:val="0"/>
              <w:spacing w:line="360" w:lineRule="auto"/>
              <w:jc w:val="center"/>
              <w:rPr>
                <w:rFonts w:ascii="宋体" w:hAnsi="宋体" w:cs="宋体"/>
                <w:kern w:val="0"/>
                <w:szCs w:val="21"/>
              </w:rPr>
            </w:pPr>
            <w:r>
              <w:rPr>
                <w:rFonts w:ascii="宋体" w:hAnsi="宋体" w:cs="宋体"/>
                <w:kern w:val="0"/>
                <w:szCs w:val="21"/>
              </w:rPr>
              <w:t>3</w:t>
            </w:r>
          </w:p>
        </w:tc>
        <w:tc>
          <w:tcPr>
            <w:tcW w:w="7658" w:type="dxa"/>
            <w:vAlign w:val="center"/>
          </w:tcPr>
          <w:p>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人员配置要求</w:t>
            </w:r>
          </w:p>
          <w:p>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 xml:space="preserve">1.1投标人应组建运维服务团队，团队人员应满足运维服务事项或维护岗位（警用有线通信系统、警用视频监控系统、警用无线通信系统）正常履行要求，提供7*24小时的运维服务。运维服务团队情况应提交采购人审核，审核不通过的，中标人须按采购人意见无条件修改。运维服务团队所有人员应在通过采购人审核后且合同签订之日全部到岗。 </w:t>
            </w:r>
          </w:p>
          <w:p>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1.2各系统维护人员要求：</w:t>
            </w:r>
          </w:p>
          <w:p>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1)警用有线通信系统维护岗位:针对该项目提供7*24小时免费保修服务，并按要求预计配备3名或以上专业人员成立维护小组。</w:t>
            </w:r>
          </w:p>
          <w:p>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2)警用视频监控系统维护岗位:针对该项目提供7*24小时免费保修服务，并按要求预计配备3名或以上专业人员成立维护小组。</w:t>
            </w:r>
          </w:p>
          <w:p>
            <w:pPr>
              <w:adjustRightInd w:val="0"/>
              <w:snapToGrid w:val="0"/>
              <w:spacing w:line="360" w:lineRule="auto"/>
              <w:jc w:val="left"/>
              <w:rPr>
                <w:rFonts w:ascii="宋体" w:hAnsi="宋体" w:cs="宋体"/>
                <w:kern w:val="0"/>
                <w:szCs w:val="21"/>
              </w:rPr>
            </w:pPr>
            <w:r>
              <w:rPr>
                <w:rFonts w:hint="eastAsia" w:ascii="宋体" w:hAnsi="宋体" w:cs="宋体"/>
                <w:kern w:val="0"/>
                <w:szCs w:val="21"/>
              </w:rPr>
              <w:t>3)警用无线通信系统维护岗位:针对该项目提供7*24小时免费保修服务，并按要求预计配备3名或以上专业人员成立维护小组。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5" w:type="dxa"/>
            <w:vAlign w:val="center"/>
          </w:tcPr>
          <w:p>
            <w:pPr>
              <w:adjustRightInd w:val="0"/>
              <w:snapToGrid w:val="0"/>
              <w:spacing w:line="360" w:lineRule="auto"/>
              <w:jc w:val="center"/>
              <w:rPr>
                <w:rFonts w:ascii="宋体" w:hAnsi="宋体" w:cs="宋体"/>
                <w:kern w:val="0"/>
                <w:szCs w:val="21"/>
              </w:rPr>
            </w:pPr>
            <w:r>
              <w:rPr>
                <w:rFonts w:ascii="宋体" w:hAnsi="宋体" w:cs="宋体"/>
                <w:kern w:val="0"/>
                <w:szCs w:val="21"/>
              </w:rPr>
              <w:t>4</w:t>
            </w:r>
          </w:p>
        </w:tc>
        <w:tc>
          <w:tcPr>
            <w:tcW w:w="7658" w:type="dxa"/>
            <w:vAlign w:val="center"/>
          </w:tcPr>
          <w:p>
            <w:pPr>
              <w:adjustRightInd w:val="0"/>
              <w:snapToGrid w:val="0"/>
              <w:spacing w:line="360" w:lineRule="auto"/>
              <w:jc w:val="left"/>
              <w:rPr>
                <w:rFonts w:ascii="宋体" w:hAnsi="宋体" w:cs="宋体"/>
                <w:kern w:val="0"/>
                <w:szCs w:val="21"/>
              </w:rPr>
            </w:pPr>
            <w:r>
              <w:rPr>
                <w:rFonts w:hint="eastAsia" w:ascii="宋体" w:hAnsi="宋体" w:cs="宋体"/>
                <w:kern w:val="0"/>
                <w:szCs w:val="21"/>
              </w:rPr>
              <w:t>监理监督要求</w:t>
            </w:r>
          </w:p>
          <w:p>
            <w:pPr>
              <w:adjustRightInd w:val="0"/>
              <w:snapToGrid w:val="0"/>
              <w:spacing w:line="360" w:lineRule="auto"/>
              <w:jc w:val="left"/>
              <w:rPr>
                <w:rFonts w:ascii="宋体" w:hAnsi="宋体" w:cs="宋体"/>
                <w:kern w:val="0"/>
                <w:szCs w:val="21"/>
              </w:rPr>
            </w:pPr>
            <w:r>
              <w:rPr>
                <w:rFonts w:hint="eastAsia" w:ascii="宋体" w:hAnsi="宋体" w:cs="宋体"/>
                <w:kern w:val="0"/>
                <w:szCs w:val="21"/>
              </w:rPr>
              <w:t>本项目实行项目监理制，采购人另行聘请监理单位，由监理单位负责对项目运维质量和进度进行监督，中标人应承诺自觉接受和配合监理单位的监督。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5" w:type="dxa"/>
            <w:vAlign w:val="center"/>
          </w:tcPr>
          <w:p>
            <w:pPr>
              <w:adjustRightInd w:val="0"/>
              <w:snapToGrid w:val="0"/>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val="en-US" w:eastAsia="zh-CN"/>
              </w:rPr>
              <w:t>5</w:t>
            </w:r>
          </w:p>
        </w:tc>
        <w:tc>
          <w:tcPr>
            <w:tcW w:w="7658" w:type="dxa"/>
            <w:vAlign w:val="center"/>
          </w:tcPr>
          <w:p>
            <w:pPr>
              <w:adjustRightInd w:val="0"/>
              <w:snapToGrid w:val="0"/>
              <w:spacing w:line="360" w:lineRule="auto"/>
              <w:jc w:val="left"/>
              <w:rPr>
                <w:rFonts w:ascii="宋体" w:hAnsi="宋体" w:cs="宋体"/>
                <w:kern w:val="0"/>
                <w:szCs w:val="21"/>
              </w:rPr>
            </w:pPr>
            <w:r>
              <w:rPr>
                <w:rFonts w:hint="eastAsia" w:ascii="宋体" w:hAnsi="宋体" w:cs="宋体"/>
                <w:kern w:val="0"/>
                <w:szCs w:val="21"/>
              </w:rPr>
              <w:t>质量考核验收标准及违约金：</w:t>
            </w:r>
          </w:p>
          <w:p>
            <w:pPr>
              <w:adjustRightInd w:val="0"/>
              <w:snapToGrid w:val="0"/>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采购人每半年对中标人履约情况进行考核，评定优、良、中、差四个等级，其中评定为良、中、差三个等级的，采购人有权分别扣除合同总价款的5%、10%、15%。如中标人未能达到合同约定的服务及考核要求，采购人有权要求中标人从已收取的合同款项中退回相应考核比例的款项。</w:t>
            </w:r>
          </w:p>
          <w:p>
            <w:pPr>
              <w:adjustRightInd w:val="0"/>
              <w:snapToGrid w:val="0"/>
              <w:spacing w:line="360" w:lineRule="auto"/>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质量考核验收标准：采购人聘请专家对本项目中标人的保密工作、信息安全、安全生产、服务人数、服务质量（包括但不限于故障维护响应时间、故障处理时间、设备在线率等）、资料管理等进行履约评价，履约评价满分设100分，综合得分95（含）至100分的评定为优，85（含）至95分的为良60（含）至85分的为中，60分以下的为差。</w:t>
            </w:r>
          </w:p>
        </w:tc>
      </w:tr>
    </w:tbl>
    <w:p>
      <w:pPr>
        <w:adjustRightInd w:val="0"/>
        <w:snapToGrid w:val="0"/>
        <w:spacing w:line="360" w:lineRule="auto"/>
        <w:ind w:firstLine="482" w:firstLineChars="200"/>
      </w:pPr>
      <w:r>
        <w:rPr>
          <w:rFonts w:hint="eastAsia" w:ascii="黑体"/>
          <w:b/>
          <w:kern w:val="0"/>
          <w:sz w:val="24"/>
        </w:rPr>
        <w:t>注：上表所列内容为不可负偏离条款。</w:t>
      </w:r>
    </w:p>
    <w:bookmarkEnd w:id="10"/>
    <w:p>
      <w:pPr>
        <w:pStyle w:val="18"/>
        <w:jc w:val="center"/>
        <w:rPr>
          <w:rFonts w:ascii="宋体" w:hAnsi="宋体"/>
          <w:sz w:val="28"/>
          <w:szCs w:val="28"/>
        </w:rPr>
      </w:pPr>
      <w:r>
        <w:rPr>
          <w:rFonts w:hint="eastAsia" w:ascii="宋体" w:hAnsi="宋体"/>
          <w:sz w:val="28"/>
          <w:szCs w:val="28"/>
        </w:rPr>
        <w:t>三、项目概况</w:t>
      </w:r>
    </w:p>
    <w:p>
      <w:pPr>
        <w:pStyle w:val="18"/>
      </w:pPr>
      <w:r>
        <w:rPr>
          <w:rFonts w:hint="eastAsia"/>
        </w:rPr>
        <w:t>（一）采购需求</w:t>
      </w:r>
    </w:p>
    <w:tbl>
      <w:tblPr>
        <w:tblStyle w:val="43"/>
        <w:tblW w:w="9395" w:type="dxa"/>
        <w:tblInd w:w="0" w:type="dxa"/>
        <w:tblLayout w:type="fixed"/>
        <w:tblCellMar>
          <w:top w:w="15" w:type="dxa"/>
          <w:left w:w="15" w:type="dxa"/>
          <w:bottom w:w="15" w:type="dxa"/>
          <w:right w:w="15" w:type="dxa"/>
        </w:tblCellMar>
      </w:tblPr>
      <w:tblGrid>
        <w:gridCol w:w="866"/>
        <w:gridCol w:w="3685"/>
        <w:gridCol w:w="921"/>
        <w:gridCol w:w="922"/>
        <w:gridCol w:w="1701"/>
        <w:gridCol w:w="1300"/>
      </w:tblGrid>
      <w:tr>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napToGrid w:val="0"/>
                <w:szCs w:val="21"/>
              </w:rPr>
              <w:t>地铁5号线警用通信系统运维项目</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1,095,630.63</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pPr>
        <w:autoSpaceDE w:val="0"/>
        <w:autoSpaceDN w:val="0"/>
        <w:adjustRightInd w:val="0"/>
        <w:spacing w:line="360" w:lineRule="auto"/>
        <w:ind w:firstLine="389" w:firstLineChars="176"/>
        <w:jc w:val="left"/>
        <w:rPr>
          <w:rFonts w:ascii="仿宋_GB2312" w:hAnsi="Times New Roman" w:eastAsia="仿宋_GB2312"/>
          <w:b/>
          <w:sz w:val="22"/>
          <w:szCs w:val="22"/>
        </w:rPr>
      </w:pPr>
      <w:r>
        <w:rPr>
          <w:rFonts w:hint="eastAsia" w:ascii="仿宋_GB2312" w:hAnsi="Times New Roman" w:eastAsia="仿宋_GB2312"/>
          <w:b/>
          <w:sz w:val="22"/>
          <w:szCs w:val="22"/>
        </w:rPr>
        <w:t>备注：</w:t>
      </w:r>
    </w:p>
    <w:p>
      <w:pPr>
        <w:autoSpaceDE w:val="0"/>
        <w:autoSpaceDN w:val="0"/>
        <w:adjustRightInd w:val="0"/>
        <w:spacing w:line="360" w:lineRule="auto"/>
        <w:ind w:firstLine="389" w:firstLineChars="176"/>
        <w:jc w:val="left"/>
        <w:rPr>
          <w:rFonts w:ascii="仿宋_GB2312" w:hAnsi="Times New Roman" w:eastAsia="仿宋_GB2312"/>
          <w:b/>
          <w:sz w:val="22"/>
          <w:szCs w:val="22"/>
        </w:rPr>
      </w:pPr>
      <w:r>
        <w:rPr>
          <w:rFonts w:hint="eastAsia" w:ascii="仿宋_GB2312" w:hAnsi="Times New Roman" w:eastAsia="仿宋_GB2312"/>
          <w:b/>
          <w:sz w:val="22"/>
          <w:szCs w:val="22"/>
        </w:rPr>
        <w:t>1、本项目需求中出现的工艺、材料、设备或参照的品牌等仅为方便描述而没有限制性，投标人可以在其提供的文件资料中选用替代标准，但这些替代标准要优于或相当于项目需求中要求的标准。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389" w:firstLineChars="176"/>
        <w:jc w:val="left"/>
        <w:rPr>
          <w:rFonts w:ascii="仿宋_GB2312" w:hAnsi="Times New Roman" w:eastAsia="仿宋_GB2312"/>
          <w:b/>
          <w:sz w:val="22"/>
          <w:szCs w:val="22"/>
        </w:rPr>
      </w:pPr>
      <w:r>
        <w:rPr>
          <w:rFonts w:hint="eastAsia" w:ascii="仿宋_GB2312" w:hAnsi="Times New Roman" w:eastAsia="仿宋_GB2312"/>
          <w:b/>
          <w:sz w:val="22"/>
          <w:szCs w:val="22"/>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389" w:firstLineChars="176"/>
        <w:jc w:val="left"/>
        <w:rPr>
          <w:rFonts w:ascii="仿宋_GB2312" w:hAnsi="Times New Roman" w:eastAsia="仿宋_GB2312"/>
          <w:b/>
          <w:sz w:val="22"/>
          <w:szCs w:val="22"/>
        </w:rPr>
      </w:pPr>
      <w:r>
        <w:rPr>
          <w:rFonts w:hint="eastAsia" w:ascii="仿宋_GB2312" w:hAnsi="Times New Roman" w:eastAsia="仿宋_GB2312"/>
          <w:b/>
          <w:sz w:val="22"/>
          <w:szCs w:val="22"/>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389" w:firstLineChars="176"/>
        <w:jc w:val="left"/>
        <w:rPr>
          <w:rFonts w:ascii="仿宋_GB2312" w:hAnsi="Times New Roman" w:eastAsia="仿宋_GB2312"/>
          <w:b/>
          <w:sz w:val="24"/>
          <w:szCs w:val="24"/>
        </w:rPr>
      </w:pPr>
      <w:r>
        <w:rPr>
          <w:rFonts w:hint="eastAsia" w:ascii="仿宋_GB2312" w:hAnsi="Times New Roman" w:eastAsia="仿宋_GB2312"/>
          <w:b/>
          <w:sz w:val="22"/>
          <w:szCs w:val="22"/>
          <w:highlight w:val="yellow"/>
        </w:rPr>
        <w:t>4、加注★的条款为不可负偏离条款，任一项未响应或不满足要求的，将导致投标无效。</w:t>
      </w:r>
    </w:p>
    <w:p>
      <w:pPr>
        <w:keepNext/>
        <w:keepLines/>
        <w:adjustRightInd w:val="0"/>
        <w:spacing w:before="156" w:beforeLines="50" w:after="156"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pPr>
        <w:spacing w:line="360" w:lineRule="auto"/>
        <w:rPr>
          <w:rFonts w:ascii="宋体" w:hAnsi="宋体" w:cs="宋体"/>
          <w:b/>
          <w:bCs/>
          <w:szCs w:val="21"/>
        </w:rPr>
      </w:pPr>
      <w:r>
        <w:rPr>
          <w:rFonts w:hint="eastAsia" w:ascii="宋体" w:hAnsi="宋体" w:cs="宋体"/>
          <w:b/>
          <w:bCs/>
          <w:szCs w:val="21"/>
        </w:rPr>
        <w:t>（一）项目范围</w:t>
      </w: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139"/>
        <w:gridCol w:w="5965"/>
        <w:gridCol w:w="411"/>
        <w:gridCol w:w="700"/>
        <w:gridCol w:w="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b/>
                <w:bCs/>
                <w:szCs w:val="21"/>
              </w:rPr>
            </w:pPr>
            <w:r>
              <w:rPr>
                <w:rFonts w:hint="eastAsia" w:ascii="宋体" w:hAnsi="宋体" w:cs="宋体"/>
                <w:b/>
                <w:bCs/>
                <w:szCs w:val="21"/>
              </w:rPr>
              <w:t>序号</w:t>
            </w:r>
          </w:p>
        </w:tc>
        <w:tc>
          <w:tcPr>
            <w:tcW w:w="613" w:type="pct"/>
            <w:shd w:val="clear" w:color="000000" w:fill="FFFFFF"/>
            <w:vAlign w:val="center"/>
          </w:tcPr>
          <w:p>
            <w:pPr>
              <w:spacing w:line="360" w:lineRule="auto"/>
              <w:jc w:val="center"/>
              <w:rPr>
                <w:rFonts w:ascii="宋体" w:hAnsi="宋体" w:cs="宋体"/>
                <w:b/>
                <w:bCs/>
                <w:szCs w:val="21"/>
              </w:rPr>
            </w:pPr>
            <w:r>
              <w:rPr>
                <w:rFonts w:hint="eastAsia" w:ascii="宋体" w:hAnsi="宋体" w:cs="宋体"/>
                <w:b/>
                <w:bCs/>
                <w:szCs w:val="21"/>
              </w:rPr>
              <w:t>设备名称</w:t>
            </w:r>
          </w:p>
        </w:tc>
        <w:tc>
          <w:tcPr>
            <w:tcW w:w="3211" w:type="pct"/>
            <w:shd w:val="clear" w:color="000000" w:fill="FFFFFF"/>
            <w:vAlign w:val="center"/>
          </w:tcPr>
          <w:p>
            <w:pPr>
              <w:spacing w:line="360" w:lineRule="auto"/>
              <w:jc w:val="center"/>
              <w:rPr>
                <w:rFonts w:ascii="宋体" w:hAnsi="宋体" w:cs="宋体"/>
                <w:b/>
                <w:bCs/>
                <w:szCs w:val="21"/>
              </w:rPr>
            </w:pPr>
            <w:r>
              <w:rPr>
                <w:rFonts w:hint="eastAsia" w:ascii="宋体" w:hAnsi="宋体" w:cs="宋体"/>
                <w:b/>
                <w:bCs/>
                <w:szCs w:val="21"/>
              </w:rPr>
              <w:t>品牌\型号\规格</w:t>
            </w:r>
          </w:p>
        </w:tc>
        <w:tc>
          <w:tcPr>
            <w:tcW w:w="221" w:type="pct"/>
            <w:shd w:val="clear" w:color="000000" w:fill="FFFFFF"/>
            <w:vAlign w:val="center"/>
          </w:tcPr>
          <w:p>
            <w:pPr>
              <w:spacing w:line="360" w:lineRule="auto"/>
              <w:jc w:val="center"/>
              <w:rPr>
                <w:rFonts w:ascii="宋体" w:hAnsi="宋体" w:cs="宋体"/>
                <w:b/>
                <w:bCs/>
                <w:szCs w:val="21"/>
              </w:rPr>
            </w:pPr>
            <w:r>
              <w:rPr>
                <w:rFonts w:hint="eastAsia" w:ascii="宋体" w:hAnsi="宋体" w:cs="宋体"/>
                <w:b/>
                <w:bCs/>
                <w:szCs w:val="21"/>
              </w:rPr>
              <w:t>单位</w:t>
            </w:r>
          </w:p>
        </w:tc>
        <w:tc>
          <w:tcPr>
            <w:tcW w:w="377" w:type="pct"/>
            <w:shd w:val="clear" w:color="000000" w:fill="FFFFFF"/>
            <w:vAlign w:val="center"/>
          </w:tcPr>
          <w:p>
            <w:pPr>
              <w:spacing w:line="360" w:lineRule="auto"/>
              <w:jc w:val="center"/>
              <w:rPr>
                <w:rFonts w:ascii="宋体" w:hAnsi="宋体" w:cs="宋体"/>
                <w:b/>
                <w:bCs/>
                <w:szCs w:val="21"/>
              </w:rPr>
            </w:pPr>
            <w:r>
              <w:rPr>
                <w:rFonts w:hint="eastAsia" w:ascii="宋体" w:hAnsi="宋体" w:cs="宋体"/>
                <w:b/>
                <w:bCs/>
                <w:szCs w:val="21"/>
              </w:rPr>
              <w:t>数量</w:t>
            </w:r>
          </w:p>
        </w:tc>
        <w:tc>
          <w:tcPr>
            <w:tcW w:w="223" w:type="pct"/>
            <w:shd w:val="clear" w:color="000000" w:fill="FFFFFF"/>
            <w:vAlign w:val="center"/>
          </w:tcPr>
          <w:p>
            <w:pPr>
              <w:spacing w:line="360" w:lineRule="auto"/>
              <w:jc w:val="center"/>
              <w:rPr>
                <w:rFonts w:ascii="宋体" w:hAnsi="宋体" w:cs="宋体"/>
                <w:b/>
                <w:bCs/>
                <w:szCs w:val="21"/>
              </w:rPr>
            </w:pPr>
            <w:r>
              <w:rPr>
                <w:rFonts w:hint="eastAsia" w:ascii="宋体" w:hAnsi="宋体" w:cs="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一、地铁5号线一期警用通信系统运维范围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1、警用有线通信系统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1.1、SDH数字传输设备（2套2.5G）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市局OSN 3500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华为，SSNB9RACK03，N66T拼装机柜(2200x600x600mm)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华为，SSNESUBRACK，增强型子架</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华为，SSN1GSCC，系统控制与通信板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华为，SSN1GXCSA，普通交叉时钟板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华为，SSN1AUX，系统辅助接口板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华为，SSN1PIUA，电源接口板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华为，SSN3SL16A(S-16.1,LC)，STM-16光接口板(S-16.1,LC)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华为，SSN1SL4A(S-4.1,LC)，STM-4光接口板(S-4.1,LC)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华为，SSN1SLD4A(S-4.1,LC)，2xSTM-4光接口板(S-4.1,LC)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华为，SSN2PQ1A，63xE1业务处理板(75欧姆)</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华为，SSN1D75S，32xE1/T1电接口倒换出线板(75欧姆)</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附属设备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华为，Telephone，公务电话</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部</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安装材料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华为，P-16mm^2-Blue，电子电力线缆-450V/750V-227 IEC 02(RV)-16mm^2-蓝-85A</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华为，P-16mm^2-Black，电子电力线缆-450V/750V-227 IEC 02(RV)-16mm^2-黑-85A</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华为，P-16mm^2-Olivine，电子电力线缆-450V/750V-227 IEC 02(RV)-16mm^2-黄绿-85A</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华为，T-75-8-D44-20，中继电缆-20m-75ohm-8E1-2.2mm-(D44公-Ⅰ)-(SYFVZ75-1.2/0.25*16-I)-负45度</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光纤连接器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华为，SS-OP-LC-FC-S-20，光跳线-FC/PC-LC/PC-单模-20m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华为，TOOLS，配套工具-SDH安装配套工具包-中英文资料-带配置表</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技术资料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华为，Documentation，《OptiX OSN 3500 智能光传输系统 电子手册》</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GIE4820电源设备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传输电源</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艾默生，配电插框</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传输电源</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艾默生，监控模块PSM-B9</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传输电源</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艾默生，AC/DC模块20A</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传输电源</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艾默生，成套电缆，用于连接市电和用户设备</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1.2、SDH数字传输设备扩容（1套2.5G DXC）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市局29楼OptiX 2500+(Metro 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华为，SS-PQ1(75)，24mm灰-75Ω-63路2M电接口支路板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华为，SS-E75S(75)，63xE1倒换接入板(75ohm)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安装材料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华为，SS-DL-4E1-75-30，中继电缆-30m-75ohm-4E1-2.2mm-(FB4X6)-(SYFVZ-75-1.2/0.25*8)</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1.3、SDH数字传输设备（26套622M ADM）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各地下站、治安巡逻大队OptiX 155/622H(Metro 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华为，SS-BOX-155，总装机箱(220V)</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26</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华为，SS-OI2-D(S-1.1 SC)，2xSTM-1光接口板(S-1.1,SC)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华为，SS-SCBC01，16xE1/75ohm/2xSTM-4(S-4.1) 系统控制板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26</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公务联络系统(EOW)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华为，Telephone，公务电话</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部</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26</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安装材料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华为，SS-DL-4E1-75-20，中继电缆-20m-75ohm-4E1-2.2mm-(FB4X6)-(SYFVZ-75-1.2/0.25*8)</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传输</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华为，SS-OP-FC-SC-S-30，光纤连接器-FC/PC-SC/PC-单模-3mm-30m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1.4、SDH传输网管（1套）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传输网管工作站扩容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网管扩容</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华为，传输网管升级扩容</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传输网络调整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网络调整</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华为，网络调整</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1.5、接入网设备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接入网设备（1套）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华为，CB-DTE，八路E1数字中继板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华为，CAB-DTE/DDF-50，中继电缆-DTE到DDF-50.00m-75ohm-1E1</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各地下站、治安巡逻大队（27套F02AV-D）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华为，H3-FHGB，HGB母板插框</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华为，CC-PWX，二次电源板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华为，H3-ESB，H303ESC板母板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华为，H3-ESC，HONET环境监控板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华为，CC-KASL，贴片化模拟用户板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华为，H3-PV4，V5协议处理及主控板(4E1)</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华为，CB-TSS，用户电路测试板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成套结构件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华为，H3-B-L16-2.2M，16路配置总装机柜</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安装材料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华为，CC-ELLA64-10，用户电缆-16路用户板-10m-0.4mm-64芯-(4*DIN3X8)-(CC64C0.4灰)-W1439</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华为，H3-DL4754，单根电缆-H301ATI配套通信电缆-15.00m-(2*DIN3X8-Ⅰ)-(CC64C0.4灰)-HONET,DL4754</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华为，中继电缆-RSP0/PV4板到DDF-15m-75ohm-2E1-2.2mm-(DIN4X8)-(4*SYFVZ75-1.2/0.25)</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扩展业务设备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华为，H3-ATI，模拟中继接口板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电源、电池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华为，H1411Z，电源模块-220VAC-48V/10A</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华为，M1441Z-PSM-8-PS4840/10，PS4840/10电源系统监控单元</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华为，W1441ZB-PS4840/10，电器柜-0V-0mA-W1441ZB-PS4840/10电源总装机箱－接入网ONU19英寸机柜用－无资料</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1.6、ONU及相关配线设备扩容（1套）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市局29楼</w:t>
            </w:r>
            <w:r>
              <w:rPr>
                <w:rFonts w:hint="eastAsia" w:ascii="宋体" w:hAnsi="宋体" w:cs="宋体"/>
                <w:szCs w:val="21"/>
              </w:rPr>
              <w:t>　</w:t>
            </w:r>
            <w:r>
              <w:rPr>
                <w:rFonts w:hint="eastAsia" w:ascii="宋体" w:hAnsi="宋体" w:cs="宋体"/>
                <w:b/>
                <w:bCs/>
                <w:szCs w:val="21"/>
              </w:rPr>
              <w:t>F02AV-D</w:t>
            </w: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华为，H3-FHGB，HGB母板插框</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华为，H3-FHIB，HIB母板插框</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华为，CC-PWX，二次电源板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华为，H3-ESB，H303ESC板母板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华为，H3-HWC，接入网HW电平转换板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华为，H3-ESC，HONET环境监控板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华为，H3-RSPB，远端用户处理板(0E1)</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华为，H3-PV8，V5协议处理及主控板(8E1)</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华为，CB-TSS，用户电路测试板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成套结构件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华为，H3-B-L16-2.2M，16路配置总装机柜</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安装材料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华为，H3-DL4754，单根电缆-H301ATI配套通信电缆-15.00m-(2*DIN3X8-Ⅰ)-(CC64C0.4灰)-HONET,DL4754</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华为，中继电缆-PV8到DDF-15.00m-75ohm-4E1-2.2mm-(SYFVZ75-1.2/0.25*8)-(DIN4X8)-HONET</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扩展业务设备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华为，H3-ATI，模拟中继接口板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电源、电池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华为，H1411Z，电源模块-220VAC-48V/10A</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华为，M1441Z-PSM-8-PS4840/10，PS4840/10电源系统监控单元</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华为，W1441ZB-PS4840/10，电器柜-0V-0mA-W1441ZB-PS4840/10电源总装机箱－接入网ONU19英寸机柜用－无资料</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1.7、数字程控交换机（1套）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程控交换设备CC08B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程控交换机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华为，C8-DTM，E1数字中继板(DS2154)</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程控交换机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华为，CC-NOD，模块节点处理机</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程控交换机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华为，CC-DTR-AN，双音收发处理机</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1.8、市局总配线架MDF（1套）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市局总配线架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配线架</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华为，MDF扩容</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1.9、网管工作站（3套）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接入网、交换网管工作站扩容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接入网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华为，接入网、交换网管升级扩容</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接入网网络调整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网络调整</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华为，网络调整</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1.10、普通电话机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电话机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高科，HCD338，普通电话机（带来电显示）</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部</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200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1.11、ODF架（含配线柜）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ODF架</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华为，GPX147，192芯ODF架</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尾纤</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10米FC/PC尾纤</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条</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250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1.12、移动终端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移动维护终端</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联想，ThinkPad R400 2784A33，处理器：Intel Core2 Duo(Penryn) P8600(2.4GHz)，核心架构：Penryn，处理器类型：酷睿2双核</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1.13、光缆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48芯光缆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西古，48芯警用通信光缆，铠装</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12芯光缆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12芯警用通信光缆</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1.14、语音网关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语音网关</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世纪网通，CNG3000，8端口模拟网关</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2、警用视频监控系统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2.1、交换机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华三，H3C S3600-28TP-SI，以太网交换机主机,24个10/100Base-TX以太网端口，2个1000Base-X SFP千兆以太网端口，2个10/100/1000Base-T以太网端口</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华三，SFP-GE-LX-SM1310-A，SFP千兆单模模块-（1310nm,10km,LC）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2.2、竹子林既有核心交换机扩容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交换机模块</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华三，SFP-GE-LH70-SM1550，SFP千兆单模模块-（1550nm,70km,LC）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2.3、车辆段骨干网交换机扩容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华三，LS-7506E，以太网交换机主机（含机箱，软件,资料）</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华三，LSQM1SRP1CB0，交换路由引擎, 增强型引擎，支持集中式MPLS转发，支持IPv6</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华三，LSQM1GV48SC0，10/100/1000M以太网交换模块-48端口千兆以太网电接口模块(PoE,RJ45)</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华三，LSQM1GP24SC0，24端口千兆以太网光接口模块(SFP,LC)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华三，LSQM1AC1400，交流电源模块,1400W</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华三，SFP-GE-LX-SM1310-A，SFP千兆单模模块-（1310nm,10km,LC）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华三，SFP-GE-LH70-SM1550，SFP千兆单模模块-（1550nm,70km,LC）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通信机柜</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通信机柜600×600×2200</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2.4、48端口交换机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华三，H3C S3600-52P-EI，以太网交换机主机,48个10/100Base-T,4个千兆SFP上行口,交直流双路供电</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华三，SFP-GE-LX-SM1310-A，SFP千兆单模模块-（1310nm,10km,LC）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2.5、24端口交换机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华三，H3C S3600-28P-EI，以太网交换机主机,24个10/100Base-T,4个千兆SFP上行口,交直流双路供电</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交换机</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华三，SFP-GE-LX-SM1310-A，SFP千兆单模模块-（1310nm,10km,LC）</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2.6、电脑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电脑</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DELL，360MT，CPU： Intel 酷睿2双核处理器E4600(CORE2 DUO 2.4G) ，2MB二级缓存  内存：DDR2 667MHz；1G硬盘：160GB  SATA（7200 转，8M缓存） 光驱：16x DVD+/-RW</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33</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3、警用无线通信系统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交换控制器扩容</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AIL-EM8-S，输出电平：-8dbm(0.31V)输入电平：0dbm(0.78V)波形失真：＜2％，阻抗：600±30欧，判选时间：30mS</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时钟发生器扩容</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银晃，CKCO-001，音频传输：带宽300－3000HZ失真＜3％，调制信号输出电平：-8dbm(0.31V)；时钟锁定精度：≤1uS；时钟相位精度：≤1uS</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99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交换设备机架(含配线架)</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宽普，QUP6646，600mm×600mm×2200mm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架</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地下同播基站机柜</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宽普，QUP8846，800mm×800mm×2200mm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架</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地面同播基站机柜</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宽普，QUP6646，600mm×600mm×2200mm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架</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地下同播基站</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银晃，AIL-SIMU-RP.25.EM，工作频段:330－370MHz工作方式:异频双工，连续工作；信道间隔：25KHz；频率稳定度：小于2.5ppm；载波输出功率；≥22W灵敏度：0.35uV（12dB SINAD），含3套同播收发信机、电源、控制器、双工器、多路耦合器、合路器、分路器、同播控制器、时钟解调器、配线架及安装配件等</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地面同播基站</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地面同播基站</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地面、地下基站工程辅料</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防水胶布、扎带、地线等</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32</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定向耦合器</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中原，H-2-350/850，频带:350~370MHz；耦合度：8±1 dB； 插入损耗：&lt;0.8 dB；平均输入功率：100W，含安装配件</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211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吸盘天线</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冠华，TQJ-350/850A，频率350HZ:驻波比＜1.5</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根</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238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7/8英寸射频电缆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RF-5078Z，含接头及安装配件</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1/2"射频电缆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汉胜，RF-5012Z，含接头及安装配件</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泄漏同轴电缆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汉胜，含接头、终端负载、隔直器、吊夹及安装配件</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系统扩容</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无线网管系统扩容</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光纤直放站</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好易通</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直放站电源线</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金龙羽，2.5m㎡</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6</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直流电源</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PS1325A</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81</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多路耦合器</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H-2-350/850</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7/8英寸射频电缆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RF5078Z</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7/8接头</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NF-78</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1500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跳线</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跳线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条</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238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118</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1/2"射频电缆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含接头及安装配件</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119</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1/2英寸射频电缆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RF5012</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30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120</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1/2接头</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NF-12</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550</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121</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泄漏同轴电缆</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RMC-50LM-114-2</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KM</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85</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122</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固定夹</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1-1/4固定夹</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82167</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123</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防火夹</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1-1/4防火夹</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2833</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124</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接头</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N-114</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216</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125</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漏缆终端负载</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N-50</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126</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跳线</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跳线</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条</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127</w:t>
            </w:r>
          </w:p>
        </w:tc>
        <w:tc>
          <w:tcPr>
            <w:tcW w:w="613"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直流隔断器</w:t>
            </w:r>
          </w:p>
        </w:tc>
        <w:tc>
          <w:tcPr>
            <w:tcW w:w="321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B250H INNER</w:t>
            </w:r>
          </w:p>
        </w:tc>
        <w:tc>
          <w:tcPr>
            <w:tcW w:w="221"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000000" w:fill="FFFFFF"/>
            <w:vAlign w:val="center"/>
          </w:tcPr>
          <w:p>
            <w:pPr>
              <w:spacing w:line="360" w:lineRule="auto"/>
              <w:jc w:val="center"/>
              <w:rPr>
                <w:rFonts w:ascii="宋体" w:hAnsi="宋体" w:cs="宋体"/>
                <w:szCs w:val="21"/>
              </w:rPr>
            </w:pPr>
            <w:r>
              <w:rPr>
                <w:rFonts w:hint="eastAsia" w:ascii="宋体" w:hAnsi="宋体" w:cs="宋体"/>
                <w:szCs w:val="21"/>
              </w:rPr>
              <w:t>108</w:t>
            </w:r>
          </w:p>
        </w:tc>
        <w:tc>
          <w:tcPr>
            <w:tcW w:w="223" w:type="pct"/>
            <w:shd w:val="clear" w:color="000000" w:fill="FFFFFF"/>
            <w:noWrap/>
            <w:vAlign w:val="center"/>
          </w:tcPr>
          <w:p>
            <w:pPr>
              <w:spacing w:line="360" w:lineRule="auto"/>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二、地铁5号线二期警用通信系统运维范围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1、警用有线通信系统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128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数字传输设备（核心）</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OptiX OSN 3500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129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数字传输设备</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OptiX OSN 1500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公安网接入交换机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S5720-36C-EI-AC</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千兆多模光模块</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eSFP-GE-SX-MM850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以太网交换机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S5720-56C-EI-AC</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万兆单模光模块（10KM）</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OSX010000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无线专网接入交换机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S5720-36C-EI-AC</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千兆多模光模块</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eSFP-GE-SX-MM850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计算机终端</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扬天T4900V</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25</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137</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23英寸液晶显示器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LS2233WA</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34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网络机柜</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JZ-SFA8842</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139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网络机柜</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JZ-SFA81042</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4口语音网关</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eSpace IAD104H</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普通电话</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TCLHCD868</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录音系统接入</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交流配电箱</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KDX63 S</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环境监控</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JITON-AMS V5.01</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智能门锁</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eLock17-PW</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智能网关</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eLink</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147</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人体传感器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eSens</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地铁站可视化应用系统</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V1.0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通道式多维信息感知门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FRI-IOT-MIS01</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接入交换机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S5720-36C-EI-AC</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存储服务器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2288H V5</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光纤收发器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OP-GYF104B-DT</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NVR</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DH-NVR4216-4KS2</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半球摄像机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DH-IPC-HDBW52XYZE-ABCD</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48芯警用通信光缆</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FC610-48STSLH</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公里</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48芯警用通信光缆（直通）</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FC610-48STSLH</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公里</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157</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光缆跳纤</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FJ2LC-LC-S3</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ODF配线架</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FP700A2*FP700-12SC 24LC24*FA830SMFFJ1ALC-S1*48FP700-S</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EDF配线架</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CP21024CP200L</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缆线（机房机柜内所有配线）</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网管系统接入</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2、警用视频监控系统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万兆防火墙</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USG6630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人像抓拍摄像机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M2221-FL8-32mm</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175</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接入交换机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S5720-28P-PWR-LI-AC</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千兆单模光模块</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SFP-GE-LX-SM1310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42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录像存储设备</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VCN3020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167</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图片存储设备</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OceanSt 9000 V5</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接入服务器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2288H V5</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169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46英寸液晶拼接屏</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DHL460UCH-ES</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视频解码器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XH-HDD-12</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控制键盘</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XH-CKB</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操作台</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前端设备箱</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ODF架</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FP700A2*FP700-12SC 24LC24*FA830SMFFJ1ALC-S1*48FP700-S</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EDF架</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CP21024CP200L</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光纤跳纤</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FJ2LC-LC-S3</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177</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网络跳线</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CJ410-2M</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6"/>
            <w:shd w:val="clear" w:color="000000" w:fill="FFFFFF"/>
            <w:vAlign w:val="center"/>
          </w:tcPr>
          <w:p>
            <w:pPr>
              <w:spacing w:line="360" w:lineRule="auto"/>
              <w:rPr>
                <w:rFonts w:ascii="宋体" w:hAnsi="宋体" w:cs="宋体"/>
                <w:b/>
                <w:bCs/>
                <w:szCs w:val="21"/>
              </w:rPr>
            </w:pPr>
            <w:r>
              <w:rPr>
                <w:rFonts w:hint="eastAsia" w:ascii="宋体" w:hAnsi="宋体" w:cs="宋体"/>
                <w:b/>
                <w:bCs/>
                <w:szCs w:val="21"/>
              </w:rPr>
              <w:t>3、警用无线通信系统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信道机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CHU621U3</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28</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基站控制单元（含软件）</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BSC624</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供电单元</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PSU-PAA100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14</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信道单元插箱</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CAS-P700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风扇单元</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FAN-P1101</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4信道射频分配系统</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RFDS-PA6400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套</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机柜</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基站结构件及线材</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DS6210-4</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交换中心扩容</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187</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数字集群管理系统扩容</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吸顶天线</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TQJ-350AT2</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56</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189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功分器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TPD2Q1-0.35 0.87</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35</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耦合器</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TDC6Q1-0.35 0.87</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个</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35</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 8漏泄同轴电缆</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HLHTYZR-50-421-5 8 D</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米</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17500</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普通吊夹及卡具</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R158-C</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米</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15750</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防火吊夹及防火卡具</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RF158-C</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米</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1750</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漏缆配件</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 8射频电缆</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HCTAYZ-50-227 8</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米</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5600</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 2射频电缆</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HCAAYZ-50-121 2</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米</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2100</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197</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天馈系统配套材料</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配套材料</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198</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直放站近端机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YHCX350F</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199</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直放站远端机</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YHCX350FB10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200</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光缆</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FC610-4STSLH</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米</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3600</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201</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电源线</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WDZC-RYY3×6mm2</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米</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3600</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202</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手持台</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PD780</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203</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固定台</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MD780i</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台</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7</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204</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车辆到站及实时位置信息接口</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205</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地铁车载视频系统接口</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定制</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206</w:t>
            </w:r>
          </w:p>
        </w:tc>
        <w:tc>
          <w:tcPr>
            <w:tcW w:w="61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备品备件</w:t>
            </w:r>
          </w:p>
        </w:tc>
        <w:tc>
          <w:tcPr>
            <w:tcW w:w="321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其他</w:t>
            </w:r>
          </w:p>
        </w:tc>
        <w:tc>
          <w:tcPr>
            <w:tcW w:w="221"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项</w:t>
            </w:r>
          </w:p>
        </w:tc>
        <w:tc>
          <w:tcPr>
            <w:tcW w:w="377"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1</w:t>
            </w:r>
          </w:p>
        </w:tc>
        <w:tc>
          <w:tcPr>
            <w:tcW w:w="223" w:type="pct"/>
            <w:shd w:val="clear" w:color="auto" w:fill="auto"/>
            <w:vAlign w:val="center"/>
          </w:tcPr>
          <w:p>
            <w:pPr>
              <w:spacing w:line="360" w:lineRule="auto"/>
              <w:jc w:val="center"/>
              <w:rPr>
                <w:rFonts w:ascii="宋体" w:hAnsi="宋体" w:cs="宋体"/>
                <w:szCs w:val="21"/>
              </w:rPr>
            </w:pPr>
            <w:r>
              <w:rPr>
                <w:rFonts w:hint="eastAsia" w:ascii="宋体" w:hAnsi="宋体" w:cs="宋体"/>
                <w:szCs w:val="21"/>
              </w:rPr>
              <w:t>　</w:t>
            </w:r>
          </w:p>
        </w:tc>
      </w:tr>
    </w:tbl>
    <w:p>
      <w:pPr>
        <w:spacing w:line="360" w:lineRule="auto"/>
        <w:rPr>
          <w:rFonts w:ascii="宋体" w:hAnsi="宋体" w:cs="宋体"/>
          <w:b/>
          <w:bCs/>
          <w:szCs w:val="21"/>
        </w:rPr>
      </w:pPr>
      <w:r>
        <w:rPr>
          <w:rFonts w:hint="eastAsia" w:ascii="宋体" w:hAnsi="宋体" w:cs="宋体"/>
          <w:b/>
          <w:bCs/>
          <w:szCs w:val="21"/>
        </w:rPr>
        <w:t>（二）管理需求</w:t>
      </w:r>
    </w:p>
    <w:p>
      <w:pPr>
        <w:spacing w:line="360" w:lineRule="auto"/>
        <w:rPr>
          <w:rFonts w:ascii="宋体" w:hAnsi="宋体" w:cs="宋体"/>
          <w:szCs w:val="21"/>
        </w:rPr>
      </w:pPr>
      <w:r>
        <w:rPr>
          <w:rFonts w:hint="eastAsia" w:ascii="宋体" w:hAnsi="宋体" w:cs="宋体"/>
          <w:szCs w:val="21"/>
        </w:rPr>
        <w:t>为保证地铁5号线警用通信系统维护项目能够发挥出应有的能效，更好的为深圳轨道交通服务，对维护中标人提出以下要求：</w:t>
      </w:r>
    </w:p>
    <w:p>
      <w:pPr>
        <w:spacing w:line="360" w:lineRule="auto"/>
        <w:rPr>
          <w:rFonts w:ascii="宋体" w:hAnsi="宋体" w:cs="宋体"/>
          <w:szCs w:val="21"/>
        </w:rPr>
      </w:pPr>
      <w:r>
        <w:rPr>
          <w:rFonts w:hint="eastAsia" w:ascii="宋体" w:hAnsi="宋体" w:cs="宋体"/>
          <w:szCs w:val="21"/>
        </w:rPr>
        <w:t>1.中标人应在深圳市内设置本地维护部门（单位），并拥有自己的办公地点。</w:t>
      </w:r>
    </w:p>
    <w:p>
      <w:pPr>
        <w:spacing w:line="360" w:lineRule="auto"/>
        <w:rPr>
          <w:rFonts w:ascii="宋体" w:hAnsi="宋体" w:cs="宋体"/>
          <w:szCs w:val="21"/>
        </w:rPr>
      </w:pPr>
      <w:r>
        <w:rPr>
          <w:rFonts w:hint="eastAsia" w:ascii="宋体" w:hAnsi="宋体" w:cs="宋体"/>
          <w:szCs w:val="21"/>
        </w:rPr>
        <w:t>2.中标人应提供7*24小时人工运维服务台（设立值班电话）和值守服务，当任何时间有维护任务或需求时，能第一时间联系到相关责任人。</w:t>
      </w:r>
    </w:p>
    <w:p>
      <w:pPr>
        <w:spacing w:line="360" w:lineRule="auto"/>
        <w:rPr>
          <w:rFonts w:ascii="宋体" w:hAnsi="宋体" w:cs="宋体"/>
          <w:szCs w:val="21"/>
        </w:rPr>
      </w:pPr>
      <w:r>
        <w:rPr>
          <w:rFonts w:hint="eastAsia" w:ascii="宋体" w:hAnsi="宋体" w:cs="宋体"/>
          <w:szCs w:val="21"/>
        </w:rPr>
        <w:t>3.故障响应服务：工作期间接到报障后10分钟内响应，通过服务台生成或受理事件并指派维护工程师开展维护工作；非工作期间，维护工程师在2小时内携带工具及有效备件等赶赴指定现场排障；在设备出现6小时内无法恢复的严重故障情况下，须采取应急措施或提供替代设备，保证在12小时内使业务系统恢复正常；排障成功，设备、系统恢复正常运行后，于3日内提交书面故障报告，报告内容应至少包括故障现象、原因，处理方法、配置变更内容、处理结果、可能存在的隐患以及今后避免问题的具体措施等。</w:t>
      </w:r>
    </w:p>
    <w:p>
      <w:pPr>
        <w:spacing w:line="360" w:lineRule="auto"/>
        <w:rPr>
          <w:rFonts w:ascii="宋体" w:hAnsi="宋体" w:cs="宋体"/>
          <w:szCs w:val="21"/>
        </w:rPr>
      </w:pPr>
      <w:r>
        <w:rPr>
          <w:rFonts w:hint="eastAsia" w:ascii="宋体" w:hAnsi="宋体" w:cs="宋体"/>
          <w:szCs w:val="21"/>
        </w:rPr>
        <w:t>4.重大任务保障服务：遇敏感时期、重大保障任务及节假日期间，提前1周时间对所维护内容进行巡检，并提交巡检及风险评估报告；同时，应安排专人现场值守，并在人员、设备等各方面提供无条件支持。</w:t>
      </w:r>
    </w:p>
    <w:p>
      <w:pPr>
        <w:spacing w:line="360" w:lineRule="auto"/>
        <w:rPr>
          <w:rFonts w:ascii="宋体" w:hAnsi="宋体" w:cs="宋体"/>
          <w:szCs w:val="21"/>
        </w:rPr>
      </w:pPr>
      <w:r>
        <w:rPr>
          <w:rFonts w:hint="eastAsia" w:ascii="宋体" w:hAnsi="宋体" w:cs="宋体"/>
          <w:szCs w:val="21"/>
        </w:rPr>
        <w:t>5.运维质量分析服务：每年度组织应召开一次运维质量分析例会，并提出工作意见和建议。</w:t>
      </w:r>
    </w:p>
    <w:p>
      <w:pPr>
        <w:spacing w:line="360" w:lineRule="auto"/>
        <w:rPr>
          <w:rFonts w:ascii="宋体" w:hAnsi="宋体" w:cs="宋体"/>
          <w:szCs w:val="21"/>
        </w:rPr>
      </w:pPr>
      <w:r>
        <w:rPr>
          <w:rFonts w:hint="eastAsia" w:ascii="宋体" w:hAnsi="宋体" w:cs="宋体"/>
          <w:b/>
          <w:bCs/>
          <w:szCs w:val="21"/>
          <w:highlight w:val="yellow"/>
        </w:rPr>
        <w:t>★6.备品备件服务：中标人应根据合同运维清单中的设备提前采购相关常用及易耗型备品备件并存放至采购人指定仓库，保障系统和设备的正常运行，且所提供的备品备件技术参数不得低于现使用设备的技术参数指标。中标人如因未能及时提供备品备件更换造成本运维项目系统设备故障不能正常运行的，中标人将承担相应违约赔偿责任，发生第一次时中标人应向采购人支付合同总价款5%的违约金，发生第二次时中标人应向采购人支付合同总价款10%的违约金，发生第三次时中标人应向采购人支付合同总价款20%的违约金且采购人有权解除合同。</w:t>
      </w:r>
    </w:p>
    <w:p>
      <w:pPr>
        <w:spacing w:line="360" w:lineRule="auto"/>
        <w:rPr>
          <w:rFonts w:ascii="宋体" w:hAnsi="宋体" w:cs="宋体"/>
          <w:szCs w:val="21"/>
        </w:rPr>
      </w:pPr>
      <w:r>
        <w:rPr>
          <w:rFonts w:hint="eastAsia" w:ascii="宋体" w:hAnsi="宋体" w:cs="宋体"/>
          <w:szCs w:val="21"/>
        </w:rPr>
        <w:t>7.技术支持服务：</w:t>
      </w:r>
    </w:p>
    <w:p>
      <w:pPr>
        <w:spacing w:line="360" w:lineRule="auto"/>
        <w:rPr>
          <w:rFonts w:ascii="宋体" w:hAnsi="宋体" w:cs="宋体"/>
          <w:szCs w:val="21"/>
        </w:rPr>
      </w:pPr>
      <w:r>
        <w:rPr>
          <w:rFonts w:hint="eastAsia" w:ascii="宋体" w:hAnsi="宋体" w:cs="宋体"/>
          <w:szCs w:val="21"/>
        </w:rPr>
        <w:t>1）于</w:t>
      </w:r>
      <w:bookmarkStart w:id="11" w:name="_Hlk170239374"/>
      <w:r>
        <w:rPr>
          <w:rFonts w:hint="eastAsia" w:ascii="宋体" w:hAnsi="宋体" w:cs="宋体"/>
          <w:szCs w:val="21"/>
        </w:rPr>
        <w:t>当前合同结束</w:t>
      </w:r>
      <w:bookmarkEnd w:id="11"/>
      <w:r>
        <w:rPr>
          <w:rFonts w:hint="eastAsia" w:ascii="宋体" w:hAnsi="宋体" w:cs="宋体"/>
          <w:szCs w:val="21"/>
        </w:rPr>
        <w:t>前提交下一年度需增加或更新设备计划。</w:t>
      </w:r>
    </w:p>
    <w:p>
      <w:pPr>
        <w:spacing w:line="360" w:lineRule="auto"/>
        <w:rPr>
          <w:rFonts w:ascii="宋体" w:hAnsi="宋体" w:cs="宋体"/>
          <w:szCs w:val="21"/>
        </w:rPr>
      </w:pPr>
      <w:r>
        <w:rPr>
          <w:rFonts w:hint="eastAsia" w:ascii="宋体" w:hAnsi="宋体" w:cs="宋体"/>
          <w:szCs w:val="21"/>
        </w:rPr>
        <w:t>2）组织开展相关新技术交流不少于6次。</w:t>
      </w:r>
    </w:p>
    <w:p>
      <w:pPr>
        <w:spacing w:line="360" w:lineRule="auto"/>
        <w:rPr>
          <w:rFonts w:ascii="宋体" w:hAnsi="宋体" w:cs="宋体"/>
          <w:szCs w:val="21"/>
        </w:rPr>
      </w:pPr>
      <w:r>
        <w:rPr>
          <w:rFonts w:hint="eastAsia" w:ascii="宋体" w:hAnsi="宋体" w:cs="宋体"/>
          <w:szCs w:val="21"/>
        </w:rPr>
        <w:t>8.中标人每月应组织一次运维工作例会，对当月运维工作开展情况进行总结。</w:t>
      </w:r>
    </w:p>
    <w:p>
      <w:pPr>
        <w:spacing w:line="360" w:lineRule="auto"/>
        <w:rPr>
          <w:rFonts w:ascii="宋体" w:hAnsi="宋体" w:cs="宋体"/>
          <w:szCs w:val="21"/>
        </w:rPr>
      </w:pPr>
      <w:r>
        <w:rPr>
          <w:rFonts w:hint="eastAsia" w:ascii="宋体" w:hAnsi="宋体" w:cs="宋体"/>
          <w:szCs w:val="21"/>
        </w:rPr>
        <w:t>9.中标人应配备必要的交通工具，以保障本项目范围内各地铁站警用机房及设备巡检及抢修工作正常开展。</w:t>
      </w:r>
    </w:p>
    <w:p>
      <w:pPr>
        <w:spacing w:line="360" w:lineRule="auto"/>
        <w:rPr>
          <w:rFonts w:ascii="宋体" w:hAnsi="宋体" w:cs="宋体"/>
          <w:szCs w:val="21"/>
        </w:rPr>
      </w:pPr>
      <w:r>
        <w:rPr>
          <w:rFonts w:hint="eastAsia" w:ascii="宋体" w:hAnsi="宋体" w:cs="宋体"/>
          <w:szCs w:val="21"/>
        </w:rPr>
        <w:t>10.保密：中标人参与本项目的人员负有保密义务，应严格遵守各项保密规定，未经授权，不得接触与公安业务相关的信息数据，不能擅自拷贝任何文件和数据并携带出工作区域。</w:t>
      </w:r>
    </w:p>
    <w:p>
      <w:pPr>
        <w:spacing w:line="360" w:lineRule="auto"/>
        <w:rPr>
          <w:rFonts w:ascii="宋体" w:hAnsi="宋体" w:cs="宋体"/>
          <w:szCs w:val="21"/>
        </w:rPr>
      </w:pPr>
      <w:r>
        <w:rPr>
          <w:rFonts w:hint="eastAsia" w:ascii="宋体" w:hAnsi="宋体" w:cs="宋体"/>
          <w:szCs w:val="21"/>
        </w:rPr>
        <w:t>11.中标人于每月应至少组织1次信息安全培训会议，形成培训会议记录。</w:t>
      </w:r>
    </w:p>
    <w:p>
      <w:pPr>
        <w:spacing w:line="360" w:lineRule="auto"/>
        <w:rPr>
          <w:rFonts w:ascii="宋体" w:hAnsi="宋体" w:cs="宋体"/>
          <w:szCs w:val="21"/>
        </w:rPr>
      </w:pPr>
      <w:bookmarkStart w:id="12" w:name="_Hlk170239467"/>
      <w:r>
        <w:rPr>
          <w:rFonts w:hint="eastAsia" w:ascii="宋体" w:hAnsi="宋体" w:cs="宋体"/>
          <w:szCs w:val="21"/>
        </w:rPr>
        <w:t>12.</w:t>
      </w:r>
      <w:bookmarkEnd w:id="12"/>
      <w:r>
        <w:rPr>
          <w:rFonts w:hint="eastAsia" w:ascii="宋体" w:hAnsi="宋体" w:cs="宋体"/>
          <w:szCs w:val="21"/>
        </w:rPr>
        <w:t>按时完成采购人交办的与本采购项目相关各项工作任务。</w:t>
      </w:r>
    </w:p>
    <w:p>
      <w:pPr>
        <w:spacing w:line="360" w:lineRule="auto"/>
        <w:rPr>
          <w:rFonts w:ascii="宋体" w:hAnsi="宋体" w:cs="宋体"/>
          <w:b/>
          <w:bCs/>
          <w:szCs w:val="21"/>
          <w:highlight w:val="yellow"/>
        </w:rPr>
      </w:pPr>
      <w:r>
        <w:rPr>
          <w:rFonts w:hint="eastAsia" w:ascii="宋体" w:hAnsi="宋体" w:cs="宋体"/>
          <w:b/>
          <w:bCs/>
          <w:szCs w:val="21"/>
          <w:highlight w:val="yellow"/>
        </w:rPr>
        <w:t>★1</w:t>
      </w:r>
      <w:r>
        <w:rPr>
          <w:rFonts w:ascii="宋体" w:hAnsi="宋体" w:cs="宋体"/>
          <w:b/>
          <w:bCs/>
          <w:szCs w:val="21"/>
          <w:highlight w:val="yellow"/>
        </w:rPr>
        <w:t>3</w:t>
      </w:r>
      <w:r>
        <w:rPr>
          <w:rFonts w:hint="eastAsia" w:ascii="宋体" w:hAnsi="宋体" w:cs="宋体"/>
          <w:b/>
          <w:bCs/>
          <w:szCs w:val="21"/>
          <w:highlight w:val="yellow"/>
        </w:rPr>
        <w:t>.落实国家关于安全生产法、特种作业规定和采购人管理方（含地铁运营方）管理要求：投标人参与本项目运维服务项目团队中至少配备1名具有特种作业操作证（作业类别：电工作业）和1名具有特种作业操作证（作业类别：高处作业）的人员，如同一人同时符合两项证书要求的，可以重复计算。</w:t>
      </w:r>
    </w:p>
    <w:p>
      <w:pPr>
        <w:spacing w:line="360" w:lineRule="auto"/>
        <w:rPr>
          <w:rFonts w:ascii="宋体" w:hAnsi="宋体" w:cs="宋体"/>
          <w:b/>
          <w:bCs/>
          <w:szCs w:val="21"/>
          <w:highlight w:val="yellow"/>
        </w:rPr>
      </w:pPr>
      <w:r>
        <w:rPr>
          <w:rFonts w:hint="eastAsia" w:ascii="宋体" w:hAnsi="宋体" w:cs="宋体"/>
          <w:b/>
          <w:bCs/>
          <w:szCs w:val="21"/>
          <w:highlight w:val="yellow"/>
        </w:rPr>
        <w:t>1）要求提供通过投标人缴纳的近三个月(2024年4月-6月)的任意一个月的社保证明作为本单位员工的证明依据。若投标人成立不足一个月的，需提供成立情况说明函（格式自拟），无需提供相关人员社保，亦视为符合；若为退休返聘人员，需提供说明函（格式自拟），无需提供相关人员社保，亦视为符合。</w:t>
      </w:r>
    </w:p>
    <w:p>
      <w:pPr>
        <w:spacing w:line="360" w:lineRule="auto"/>
        <w:rPr>
          <w:rFonts w:ascii="宋体" w:hAnsi="宋体" w:cs="宋体"/>
          <w:b/>
          <w:bCs/>
          <w:szCs w:val="21"/>
          <w:highlight w:val="yellow"/>
        </w:rPr>
      </w:pPr>
      <w:r>
        <w:rPr>
          <w:rFonts w:ascii="宋体" w:hAnsi="宋体" w:cs="宋体"/>
          <w:b/>
          <w:bCs/>
          <w:szCs w:val="21"/>
          <w:highlight w:val="yellow"/>
        </w:rPr>
        <w:t>2</w:t>
      </w:r>
      <w:r>
        <w:rPr>
          <w:rFonts w:hint="eastAsia" w:ascii="宋体" w:hAnsi="宋体" w:cs="宋体"/>
          <w:b/>
          <w:bCs/>
          <w:szCs w:val="21"/>
          <w:highlight w:val="yellow"/>
        </w:rPr>
        <w:t>）要求提供上述员工在有效期内的相关证书扫描件或复印件和官方网站（中华人民共和国应急管理部--特种作业操作证及安全生产知识和管理能力考核合格信息查询平台（https://cx.mem.gov.cn/special?index=0）查询截图，原件备查。</w:t>
      </w:r>
    </w:p>
    <w:p>
      <w:pPr>
        <w:spacing w:line="360" w:lineRule="auto"/>
        <w:rPr>
          <w:rFonts w:ascii="宋体" w:hAnsi="宋体" w:cs="宋体"/>
          <w:b/>
          <w:bCs/>
          <w:szCs w:val="21"/>
          <w:highlight w:val="yellow"/>
        </w:rPr>
      </w:pPr>
      <w:r>
        <w:rPr>
          <w:rFonts w:ascii="宋体" w:hAnsi="宋体" w:cs="宋体"/>
          <w:b/>
          <w:bCs/>
          <w:szCs w:val="21"/>
          <w:highlight w:val="yellow"/>
        </w:rPr>
        <w:t>3</w:t>
      </w:r>
      <w:r>
        <w:rPr>
          <w:rFonts w:hint="eastAsia" w:ascii="宋体" w:hAnsi="宋体" w:cs="宋体"/>
          <w:b/>
          <w:bCs/>
          <w:szCs w:val="21"/>
          <w:highlight w:val="yellow"/>
        </w:rPr>
        <w:t>）投标人所提供的上述证明资料因模糊、不清晰造成评审专家无法判断的，或投标文件中无相应证明资料的，按不满足本项要求处理。</w:t>
      </w:r>
    </w:p>
    <w:p>
      <w:pPr>
        <w:spacing w:line="360" w:lineRule="auto"/>
        <w:rPr>
          <w:rFonts w:ascii="宋体" w:hAnsi="宋体" w:cs="宋体"/>
          <w:b/>
          <w:bCs/>
          <w:szCs w:val="21"/>
        </w:rPr>
      </w:pPr>
      <w:r>
        <w:rPr>
          <w:rFonts w:hint="eastAsia" w:ascii="宋体" w:hAnsi="宋体" w:cs="宋体"/>
          <w:b/>
          <w:bCs/>
          <w:szCs w:val="21"/>
        </w:rPr>
        <w:t>（三）人员需求</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cs="宋体"/>
          <w:b/>
          <w:bCs/>
          <w:szCs w:val="21"/>
          <w:highlight w:val="yellow"/>
          <w:lang w:val="en-US" w:eastAsia="zh-CN"/>
        </w:rPr>
      </w:pPr>
      <w:r>
        <w:rPr>
          <w:rFonts w:hint="eastAsia" w:ascii="宋体" w:hAnsi="宋体" w:cs="宋体"/>
          <w:b/>
          <w:bCs/>
          <w:szCs w:val="21"/>
          <w:highlight w:val="yellow"/>
        </w:rPr>
        <w:t>★</w:t>
      </w:r>
      <w:bookmarkStart w:id="13" w:name="_Hlk103244989"/>
      <w:r>
        <w:rPr>
          <w:rFonts w:hint="eastAsia" w:ascii="宋体" w:hAnsi="宋体" w:cs="宋体"/>
          <w:b/>
          <w:bCs/>
          <w:szCs w:val="21"/>
          <w:highlight w:val="yellow"/>
          <w:lang w:val="en-US" w:eastAsia="zh-CN"/>
        </w:rPr>
        <w:t>1.人员配置要求</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cs="宋体"/>
          <w:b/>
          <w:bCs/>
          <w:szCs w:val="21"/>
          <w:highlight w:val="yellow"/>
          <w:lang w:val="en-US" w:eastAsia="zh-CN"/>
        </w:rPr>
      </w:pPr>
      <w:r>
        <w:rPr>
          <w:rFonts w:hint="eastAsia" w:ascii="宋体" w:hAnsi="宋体" w:cs="宋体"/>
          <w:b/>
          <w:bCs/>
          <w:szCs w:val="21"/>
          <w:highlight w:val="yellow"/>
          <w:lang w:val="en-US" w:eastAsia="zh-CN"/>
        </w:rPr>
        <w:t xml:space="preserve">1.1投标人应组建运维服务团队，团队人员应满足运维服务事项或维护岗位（警用有线通信系统、警用视频监控系统、警用无线通信系统）正常履行要求，提供7*24小时的运维服务。运维服务团队情况应提交采购人审核，审核不通过的，中标人须按采购人意见无条件修改。运维服务团队所有人员应在通过采购人审核后且合同签订之日全部到岗。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cs="宋体"/>
          <w:b/>
          <w:bCs/>
          <w:szCs w:val="21"/>
          <w:highlight w:val="yellow"/>
          <w:lang w:val="en-US" w:eastAsia="zh-CN"/>
        </w:rPr>
      </w:pPr>
      <w:r>
        <w:rPr>
          <w:rFonts w:hint="eastAsia" w:ascii="宋体" w:hAnsi="宋体" w:cs="宋体"/>
          <w:b/>
          <w:bCs/>
          <w:szCs w:val="21"/>
          <w:highlight w:val="yellow"/>
          <w:lang w:val="en-US" w:eastAsia="zh-CN"/>
        </w:rPr>
        <w:t>1.2各系统维护人员要求：</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cs="宋体"/>
          <w:b/>
          <w:bCs/>
          <w:szCs w:val="21"/>
          <w:highlight w:val="yellow"/>
          <w:lang w:val="en-US" w:eastAsia="zh-CN"/>
        </w:rPr>
      </w:pPr>
      <w:r>
        <w:rPr>
          <w:rFonts w:hint="eastAsia" w:ascii="宋体" w:hAnsi="宋体" w:cs="宋体"/>
          <w:b/>
          <w:bCs/>
          <w:szCs w:val="21"/>
          <w:highlight w:val="yellow"/>
          <w:lang w:val="en-US" w:eastAsia="zh-CN"/>
        </w:rPr>
        <w:t>1)警用有线通信系统维护岗位:针对该项目提供7*24小时免费保修服务，并按要求预计配备3名或以上专业人员成立维护小组。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cs="宋体"/>
          <w:b/>
          <w:bCs/>
          <w:szCs w:val="21"/>
          <w:highlight w:val="yellow"/>
          <w:lang w:val="en-US" w:eastAsia="zh-CN"/>
        </w:rPr>
      </w:pPr>
      <w:r>
        <w:rPr>
          <w:rFonts w:hint="eastAsia" w:ascii="宋体" w:hAnsi="宋体" w:cs="宋体"/>
          <w:b/>
          <w:bCs/>
          <w:szCs w:val="21"/>
          <w:highlight w:val="yellow"/>
          <w:lang w:val="en-US" w:eastAsia="zh-CN"/>
        </w:rPr>
        <w:t>2)警用视频监控系统维护岗位:针对该项目提供7*24小时免费保修服务，并按要求预计配备3名或以上专业人员成立维护小组。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ascii="宋体" w:hAnsi="宋体" w:cs="宋体"/>
          <w:b/>
          <w:bCs/>
          <w:szCs w:val="21"/>
        </w:rPr>
      </w:pPr>
      <w:r>
        <w:rPr>
          <w:rFonts w:hint="eastAsia" w:ascii="宋体" w:hAnsi="宋体" w:cs="宋体"/>
          <w:b/>
          <w:bCs/>
          <w:szCs w:val="21"/>
          <w:highlight w:val="yellow"/>
          <w:lang w:val="en-US" w:eastAsia="zh-CN"/>
        </w:rPr>
        <w:t>3)警用无线通信系统维护岗位:针对该项目提供7*24小时免费保修服务，并按要求预计配备3名或以上专业人员成立维护小组。</w:t>
      </w:r>
    </w:p>
    <w:bookmarkEnd w:id="13"/>
    <w:p>
      <w:pPr>
        <w:spacing w:line="360" w:lineRule="auto"/>
        <w:rPr>
          <w:rFonts w:ascii="宋体" w:hAnsi="宋体" w:cs="宋体"/>
          <w:b/>
          <w:bCs/>
          <w:szCs w:val="21"/>
        </w:rPr>
      </w:pPr>
      <w:r>
        <w:rPr>
          <w:rFonts w:hint="eastAsia" w:ascii="宋体" w:hAnsi="宋体" w:cs="宋体"/>
          <w:b/>
          <w:bCs/>
          <w:szCs w:val="21"/>
        </w:rPr>
        <w:t>2.人员基本需求</w:t>
      </w:r>
    </w:p>
    <w:p>
      <w:pPr>
        <w:spacing w:line="360" w:lineRule="auto"/>
        <w:rPr>
          <w:rFonts w:ascii="宋体" w:hAnsi="宋体" w:cs="宋体"/>
          <w:szCs w:val="21"/>
        </w:rPr>
      </w:pPr>
      <w:r>
        <w:rPr>
          <w:rFonts w:hint="eastAsia" w:ascii="宋体" w:hAnsi="宋体" w:cs="宋体"/>
          <w:szCs w:val="21"/>
        </w:rPr>
        <w:t>2.1在维护服务期间，维护人员必须认真、负责、及时，精神饱满且服务态度友好，能积极主动为采购人着想。严格遵守采购人的各项管理规章制度、规定和要求，服从采购人的工作岗位安排，办公区域内工作时统一着装，佩带采购人提供的工作证。</w:t>
      </w:r>
    </w:p>
    <w:p>
      <w:pPr>
        <w:spacing w:line="360" w:lineRule="auto"/>
        <w:rPr>
          <w:rFonts w:ascii="宋体" w:hAnsi="宋体" w:cs="宋体"/>
          <w:szCs w:val="21"/>
        </w:rPr>
      </w:pPr>
      <w:r>
        <w:rPr>
          <w:rFonts w:hint="eastAsia" w:ascii="宋体" w:hAnsi="宋体" w:cs="宋体"/>
          <w:szCs w:val="21"/>
        </w:rPr>
        <w:t>2.2中标人派驻维护人员到采购人现场维护，遵守采购人所提出的服务标准和管理要求，听从指挥，服从任务安排，及时有效的解决各种故障，按要求认真详实填报有关维护资料。</w:t>
      </w:r>
    </w:p>
    <w:p>
      <w:pPr>
        <w:spacing w:line="360" w:lineRule="auto"/>
        <w:rPr>
          <w:rFonts w:ascii="宋体" w:hAnsi="宋体" w:cs="宋体"/>
          <w:szCs w:val="21"/>
        </w:rPr>
      </w:pPr>
      <w:r>
        <w:rPr>
          <w:rFonts w:hint="eastAsia" w:ascii="宋体" w:hAnsi="宋体" w:cs="宋体"/>
          <w:szCs w:val="21"/>
        </w:rPr>
        <w:t>2.3中标人须确保常驻维护人员符合采购人要求的专业技术水平及工作经验，保证至少每月组织维护人员进行专业技术、服务技能和采购人应用系统的学习培训。在未经采购人管理人员同意情况下，常驻维护人员不能在工作时间内做采购人以外的维护工作。如发现工作上有弄虚作假情况，或不符合采购人管理要求者，采购人有权做出相应处理，直至终止合同并追究投标人相应责任。</w:t>
      </w:r>
    </w:p>
    <w:p>
      <w:pPr>
        <w:spacing w:line="360" w:lineRule="auto"/>
        <w:rPr>
          <w:rFonts w:ascii="宋体" w:hAnsi="宋体" w:cs="宋体"/>
          <w:szCs w:val="21"/>
        </w:rPr>
      </w:pPr>
      <w:r>
        <w:rPr>
          <w:rFonts w:hint="eastAsia" w:ascii="宋体" w:hAnsi="宋体" w:cs="宋体"/>
          <w:szCs w:val="21"/>
        </w:rPr>
        <w:t>2.4如确有需要更换已有常驻维护人员，中标人必须在调换前向采购人提交书面申请，并按照每调整一名维护人员，中标人应向采购人提供至少两名预备替换维护人员供选择，经采购人同意后，方可对维护人员进行调整。中标人所调换的维护人员应符合本招标书中的人员要求。如上述人员更换影响采购人相关设备的维护工作，采购人将有权按合同违约责任条款处理。</w:t>
      </w:r>
    </w:p>
    <w:p>
      <w:pPr>
        <w:spacing w:line="360" w:lineRule="auto"/>
        <w:rPr>
          <w:rFonts w:ascii="宋体" w:hAnsi="宋体" w:cs="宋体"/>
          <w:szCs w:val="21"/>
        </w:rPr>
      </w:pPr>
      <w:r>
        <w:rPr>
          <w:rFonts w:hint="eastAsia" w:ascii="宋体" w:hAnsi="宋体" w:cs="宋体"/>
          <w:szCs w:val="21"/>
        </w:rPr>
        <w:t>2.5在工作期间，因维护人员发生安全问题（如擅自安装或拆卸计算机设备、随意带非采购人人员或物品进出办公区域、有意或无意泄露采购人保密文件等情况），采购人有权做出相应处理，包括追究中标人及当事人的相关法律责任直至终止合同。</w:t>
      </w:r>
    </w:p>
    <w:p>
      <w:pPr>
        <w:spacing w:line="360" w:lineRule="auto"/>
        <w:rPr>
          <w:rFonts w:ascii="宋体" w:hAnsi="宋体" w:cs="宋体"/>
          <w:szCs w:val="21"/>
        </w:rPr>
      </w:pPr>
      <w:r>
        <w:rPr>
          <w:rFonts w:hint="eastAsia" w:ascii="宋体" w:hAnsi="宋体" w:cs="宋体"/>
          <w:szCs w:val="21"/>
        </w:rPr>
        <w:t>2.6中标人应承担保密义务，并采取有效预防措施，防止中标人维护人员在合同执行期间将掌握的任何有关采购人的机密或专有信息透露给任何未经授权人。</w:t>
      </w:r>
    </w:p>
    <w:p>
      <w:pPr>
        <w:spacing w:line="360" w:lineRule="auto"/>
        <w:rPr>
          <w:rFonts w:ascii="宋体" w:hAnsi="宋体" w:cs="宋体"/>
          <w:szCs w:val="21"/>
        </w:rPr>
      </w:pPr>
      <w:r>
        <w:rPr>
          <w:rFonts w:hint="eastAsia" w:ascii="宋体" w:hAnsi="宋体" w:cs="宋体"/>
          <w:szCs w:val="21"/>
        </w:rPr>
        <w:t>2.7维护服务期内，工作时间，中标人所有派驻维护人员必须常驻采购人指定办公区域执行维护工作。</w:t>
      </w:r>
    </w:p>
    <w:p>
      <w:pPr>
        <w:spacing w:line="360" w:lineRule="auto"/>
        <w:rPr>
          <w:rFonts w:ascii="宋体" w:hAnsi="宋体" w:cs="宋体"/>
          <w:szCs w:val="21"/>
        </w:rPr>
      </w:pPr>
      <w:r>
        <w:rPr>
          <w:rFonts w:hint="eastAsia" w:ascii="宋体" w:hAnsi="宋体" w:cs="宋体"/>
          <w:szCs w:val="21"/>
        </w:rPr>
        <w:t>2.8中标人维护人员必须服从采购人的工作安排和管理，做到24小时备勤及24小时电话保障。</w:t>
      </w:r>
    </w:p>
    <w:p>
      <w:pPr>
        <w:spacing w:line="360" w:lineRule="auto"/>
        <w:rPr>
          <w:rFonts w:ascii="宋体" w:hAnsi="宋体" w:cs="宋体"/>
          <w:b/>
          <w:bCs/>
          <w:szCs w:val="21"/>
        </w:rPr>
      </w:pPr>
      <w:r>
        <w:rPr>
          <w:rFonts w:hint="eastAsia" w:ascii="宋体" w:hAnsi="宋体" w:cs="宋体"/>
          <w:b/>
          <w:bCs/>
          <w:szCs w:val="21"/>
        </w:rPr>
        <w:t>（四）文档需求</w:t>
      </w:r>
    </w:p>
    <w:p>
      <w:pPr>
        <w:spacing w:line="360" w:lineRule="auto"/>
        <w:rPr>
          <w:rFonts w:ascii="宋体" w:hAnsi="宋体" w:cs="宋体"/>
          <w:szCs w:val="21"/>
        </w:rPr>
      </w:pPr>
      <w:r>
        <w:rPr>
          <w:rFonts w:hint="eastAsia" w:ascii="宋体" w:hAnsi="宋体" w:cs="宋体"/>
          <w:szCs w:val="21"/>
        </w:rPr>
        <w:t>中标人应向采购人提交以下文档资料：</w:t>
      </w:r>
    </w:p>
    <w:p>
      <w:pPr>
        <w:spacing w:line="360" w:lineRule="auto"/>
        <w:rPr>
          <w:rFonts w:ascii="宋体" w:hAnsi="宋体" w:cs="宋体"/>
          <w:szCs w:val="21"/>
        </w:rPr>
      </w:pPr>
      <w:r>
        <w:rPr>
          <w:rFonts w:hint="eastAsia" w:ascii="宋体" w:hAnsi="宋体" w:cs="宋体"/>
          <w:szCs w:val="21"/>
        </w:rPr>
        <w:t>1.每个月度提交1份纸质维护报表。</w:t>
      </w:r>
    </w:p>
    <w:p>
      <w:pPr>
        <w:spacing w:line="360" w:lineRule="auto"/>
        <w:rPr>
          <w:rFonts w:ascii="宋体" w:hAnsi="宋体" w:cs="宋体"/>
          <w:szCs w:val="21"/>
        </w:rPr>
      </w:pPr>
      <w:r>
        <w:rPr>
          <w:rFonts w:hint="eastAsia" w:ascii="宋体" w:hAnsi="宋体" w:cs="宋体"/>
          <w:szCs w:val="21"/>
        </w:rPr>
        <w:t>2.每年提交1份年度维护报表以及年度维护总结，并需要对备件库中的备件进行单独说明。</w:t>
      </w:r>
    </w:p>
    <w:p>
      <w:pPr>
        <w:spacing w:line="360" w:lineRule="auto"/>
        <w:rPr>
          <w:rFonts w:ascii="宋体" w:hAnsi="宋体" w:cs="宋体"/>
          <w:szCs w:val="21"/>
        </w:rPr>
      </w:pPr>
      <w:r>
        <w:rPr>
          <w:rFonts w:hint="eastAsia" w:ascii="宋体" w:hAnsi="宋体" w:cs="宋体"/>
          <w:szCs w:val="21"/>
        </w:rPr>
        <w:t>3.下一年度维护计划以及所补备品备件清单。</w:t>
      </w:r>
    </w:p>
    <w:p>
      <w:pPr>
        <w:spacing w:line="360" w:lineRule="auto"/>
        <w:rPr>
          <w:rFonts w:ascii="宋体" w:hAnsi="宋体" w:cs="宋体"/>
          <w:szCs w:val="21"/>
        </w:rPr>
      </w:pPr>
      <w:r>
        <w:rPr>
          <w:rFonts w:hint="eastAsia" w:ascii="宋体" w:hAnsi="宋体" w:cs="宋体"/>
          <w:szCs w:val="21"/>
        </w:rPr>
        <w:t>对于日常维护还需提供以下报告清单：</w:t>
      </w:r>
    </w:p>
    <w:p>
      <w:pPr>
        <w:spacing w:line="360" w:lineRule="auto"/>
        <w:rPr>
          <w:rFonts w:ascii="宋体" w:hAnsi="宋体" w:cs="宋体"/>
          <w:szCs w:val="21"/>
        </w:rPr>
      </w:pPr>
      <w:r>
        <w:rPr>
          <w:rFonts w:hint="eastAsia" w:ascii="宋体" w:hAnsi="宋体" w:cs="宋体"/>
          <w:szCs w:val="21"/>
        </w:rPr>
        <w:t>1.日巡检报告（电子工单）：包括巡检时间、人员、设备运行主要参数、设备运行状况。</w:t>
      </w:r>
    </w:p>
    <w:p>
      <w:pPr>
        <w:spacing w:line="360" w:lineRule="auto"/>
        <w:rPr>
          <w:rFonts w:ascii="宋体" w:hAnsi="宋体" w:cs="宋体"/>
          <w:szCs w:val="21"/>
        </w:rPr>
      </w:pPr>
      <w:r>
        <w:rPr>
          <w:rFonts w:hint="eastAsia" w:ascii="宋体" w:hAnsi="宋体" w:cs="宋体"/>
          <w:szCs w:val="21"/>
        </w:rPr>
        <w:t>2.其他例行维护工作工单（电子工单或纸制）。根各工单类型定制。</w:t>
      </w:r>
    </w:p>
    <w:p>
      <w:pPr>
        <w:spacing w:line="360" w:lineRule="auto"/>
        <w:rPr>
          <w:rFonts w:ascii="宋体" w:hAnsi="宋体" w:cs="宋体"/>
          <w:szCs w:val="21"/>
        </w:rPr>
      </w:pPr>
      <w:r>
        <w:rPr>
          <w:rFonts w:hint="eastAsia" w:ascii="宋体" w:hAnsi="宋体" w:cs="宋体"/>
          <w:szCs w:val="21"/>
        </w:rPr>
        <w:t>3.月运维报告（纸制报告，要求公司盖章）：包括设备巡检情况、故障处理情况、下一步工作建议。</w:t>
      </w:r>
    </w:p>
    <w:p>
      <w:pPr>
        <w:spacing w:line="360" w:lineRule="auto"/>
        <w:rPr>
          <w:rFonts w:ascii="宋体" w:hAnsi="宋体" w:cs="宋体"/>
          <w:szCs w:val="21"/>
        </w:rPr>
      </w:pPr>
      <w:r>
        <w:rPr>
          <w:rFonts w:hint="eastAsia" w:ascii="宋体" w:hAnsi="宋体" w:cs="宋体"/>
          <w:szCs w:val="21"/>
        </w:rPr>
        <w:t>4.年度运维工作总结（纸制报告，公司盖章）：包括设备运行情况、故障处理情况、例行工作执行情况、下一步工作思路和工作建议等。</w:t>
      </w:r>
    </w:p>
    <w:p>
      <w:pPr>
        <w:spacing w:line="360" w:lineRule="auto"/>
        <w:rPr>
          <w:rFonts w:ascii="宋体" w:hAnsi="宋体" w:cs="宋体"/>
          <w:szCs w:val="21"/>
        </w:rPr>
      </w:pPr>
      <w:r>
        <w:rPr>
          <w:rFonts w:hint="eastAsia" w:ascii="宋体" w:hAnsi="宋体" w:cs="宋体"/>
          <w:szCs w:val="21"/>
        </w:rPr>
        <w:t>5.故障处理报告（电子工单或纸制报告）：包括受理时间、维护人员、故障现象、原因分析、处理方法等。</w:t>
      </w:r>
    </w:p>
    <w:p>
      <w:pPr>
        <w:spacing w:line="360" w:lineRule="auto"/>
        <w:rPr>
          <w:rFonts w:ascii="宋体" w:hAnsi="宋体" w:cs="宋体"/>
          <w:b/>
          <w:bCs/>
          <w:szCs w:val="21"/>
        </w:rPr>
      </w:pPr>
      <w:r>
        <w:rPr>
          <w:rFonts w:hint="eastAsia" w:ascii="宋体" w:hAnsi="宋体" w:cs="宋体"/>
          <w:b/>
          <w:bCs/>
          <w:szCs w:val="21"/>
        </w:rPr>
        <w:t>（五）维护需求</w:t>
      </w:r>
    </w:p>
    <w:p>
      <w:pPr>
        <w:spacing w:line="360" w:lineRule="auto"/>
        <w:rPr>
          <w:rFonts w:ascii="宋体" w:hAnsi="宋体" w:cs="宋体"/>
          <w:szCs w:val="21"/>
        </w:rPr>
      </w:pPr>
      <w:r>
        <w:rPr>
          <w:rFonts w:hint="eastAsia" w:ascii="宋体" w:hAnsi="宋体" w:cs="宋体"/>
          <w:szCs w:val="21"/>
        </w:rPr>
        <w:t>1.警用有线通信系统维护需求</w:t>
      </w:r>
    </w:p>
    <w:p>
      <w:pPr>
        <w:spacing w:line="360" w:lineRule="auto"/>
        <w:rPr>
          <w:rFonts w:ascii="宋体" w:hAnsi="宋体" w:cs="宋体"/>
          <w:szCs w:val="21"/>
        </w:rPr>
      </w:pPr>
      <w:r>
        <w:rPr>
          <w:rFonts w:hint="eastAsia" w:ascii="宋体" w:hAnsi="宋体" w:cs="宋体"/>
          <w:szCs w:val="21"/>
        </w:rPr>
        <w:t>1.1光纤线路维护基本任务</w:t>
      </w:r>
    </w:p>
    <w:p>
      <w:pPr>
        <w:spacing w:line="360" w:lineRule="auto"/>
        <w:rPr>
          <w:rFonts w:ascii="宋体" w:hAnsi="宋体" w:cs="宋体"/>
          <w:szCs w:val="21"/>
        </w:rPr>
      </w:pPr>
      <w:r>
        <w:rPr>
          <w:rFonts w:hint="eastAsia" w:ascii="宋体" w:hAnsi="宋体" w:cs="宋体"/>
          <w:szCs w:val="21"/>
        </w:rPr>
        <w:t>维护人员应保持线路设备完整良好及正常运行，传输性能符合维护指标要求。障碍发生时通过线路人员通知或维护人员自己发现应能迅速准确地判断和排除故障，尽力缩短障碍历时；日常维护应勤巡视、及时排除障碍隐患；始终保持线路设备清洁和良好的工作环境。光纤线路日常维护管理措施：</w:t>
      </w:r>
    </w:p>
    <w:p>
      <w:pPr>
        <w:spacing w:line="360" w:lineRule="auto"/>
        <w:rPr>
          <w:rFonts w:ascii="宋体" w:hAnsi="宋体" w:cs="宋体"/>
          <w:szCs w:val="21"/>
        </w:rPr>
      </w:pPr>
      <w:r>
        <w:rPr>
          <w:rFonts w:hint="eastAsia" w:ascii="宋体" w:hAnsi="宋体" w:cs="宋体"/>
          <w:szCs w:val="21"/>
        </w:rPr>
        <w:t>（1）定期巡查地铁轨行区警用电缆等设备，开展维护保养、隐患排查、整治工作，确保地铁轨行区警用通信设备不发生松脱、侵入地铁列车限界等的安全事故。合同期间巡检轨行区警用设备次数不少于1次。</w:t>
      </w:r>
    </w:p>
    <w:p>
      <w:pPr>
        <w:spacing w:line="360" w:lineRule="auto"/>
        <w:rPr>
          <w:rFonts w:ascii="宋体" w:hAnsi="宋体" w:cs="宋体"/>
          <w:szCs w:val="21"/>
        </w:rPr>
      </w:pPr>
      <w:r>
        <w:rPr>
          <w:rFonts w:hint="eastAsia" w:ascii="宋体" w:hAnsi="宋体" w:cs="宋体"/>
          <w:szCs w:val="21"/>
        </w:rPr>
        <w:t>（2）积极主动向采购人上报线路巡查的隐患，并及时采取临时防护措施。</w:t>
      </w:r>
    </w:p>
    <w:p>
      <w:pPr>
        <w:spacing w:line="360" w:lineRule="auto"/>
        <w:rPr>
          <w:rFonts w:ascii="宋体" w:hAnsi="宋体" w:cs="宋体"/>
          <w:szCs w:val="21"/>
        </w:rPr>
      </w:pPr>
      <w:r>
        <w:rPr>
          <w:rFonts w:hint="eastAsia" w:ascii="宋体" w:hAnsi="宋体" w:cs="宋体"/>
          <w:szCs w:val="21"/>
        </w:rPr>
        <w:t>（3）按照日常维护的要求对光缆备用纤芯进行测试，通过测试发现的问题及时上报，有计划、有针对性的进行纤芯整治工作。掌握干线及本地网干线各段落的纤芯使用情况及光缆的路由情况。</w:t>
      </w:r>
    </w:p>
    <w:p>
      <w:pPr>
        <w:spacing w:line="360" w:lineRule="auto"/>
        <w:rPr>
          <w:rFonts w:ascii="宋体" w:hAnsi="宋体" w:cs="宋体"/>
          <w:szCs w:val="21"/>
        </w:rPr>
      </w:pPr>
      <w:r>
        <w:rPr>
          <w:rFonts w:hint="eastAsia" w:ascii="宋体" w:hAnsi="宋体" w:cs="宋体"/>
          <w:szCs w:val="21"/>
        </w:rPr>
        <w:t>（4）及时整理、更新线路维护的基础资料（光缆线路图、纤芯分配图、基站分布图、测试资料等）。</w:t>
      </w:r>
    </w:p>
    <w:p>
      <w:pPr>
        <w:spacing w:line="360" w:lineRule="auto"/>
        <w:rPr>
          <w:rFonts w:ascii="宋体" w:hAnsi="宋体" w:cs="宋体"/>
          <w:szCs w:val="21"/>
        </w:rPr>
      </w:pPr>
      <w:r>
        <w:rPr>
          <w:rFonts w:hint="eastAsia" w:ascii="宋体" w:hAnsi="宋体" w:cs="宋体"/>
          <w:szCs w:val="21"/>
        </w:rPr>
        <w:t>（5）光缆线路的迁改、割接等工程及时跟进。从维护的角度出发，检查工程质量情况，配合采购人进行监督监管。</w:t>
      </w:r>
    </w:p>
    <w:p>
      <w:pPr>
        <w:spacing w:line="360" w:lineRule="auto"/>
        <w:rPr>
          <w:rFonts w:ascii="宋体" w:hAnsi="宋体" w:cs="宋体"/>
          <w:szCs w:val="21"/>
        </w:rPr>
      </w:pPr>
      <w:r>
        <w:rPr>
          <w:rFonts w:hint="eastAsia" w:ascii="宋体" w:hAnsi="宋体" w:cs="宋体"/>
          <w:szCs w:val="21"/>
        </w:rPr>
        <w:t>1.2网络设备维护需求</w:t>
      </w:r>
    </w:p>
    <w:p>
      <w:pPr>
        <w:spacing w:line="360" w:lineRule="auto"/>
        <w:rPr>
          <w:rFonts w:ascii="宋体" w:hAnsi="宋体" w:cs="宋体"/>
          <w:szCs w:val="21"/>
        </w:rPr>
      </w:pPr>
      <w:r>
        <w:rPr>
          <w:rFonts w:hint="eastAsia" w:ascii="宋体" w:hAnsi="宋体" w:cs="宋体"/>
          <w:szCs w:val="21"/>
        </w:rPr>
        <w:t>机房环境维护需求：</w:t>
      </w:r>
    </w:p>
    <w:p>
      <w:pPr>
        <w:spacing w:line="360" w:lineRule="auto"/>
        <w:rPr>
          <w:rFonts w:ascii="宋体" w:hAnsi="宋体" w:cs="宋体"/>
          <w:szCs w:val="21"/>
        </w:rPr>
      </w:pPr>
      <w:r>
        <w:rPr>
          <w:rFonts w:hint="eastAsia" w:ascii="宋体" w:hAnsi="宋体" w:cs="宋体"/>
          <w:szCs w:val="21"/>
        </w:rPr>
        <w:t>（1）温度状况：在正常情况下，机房长期工作环境温度应在0°C～45°C之间，短期工作环境温度应在-5°C～55°C之间。检查空调制冷度、开关情况等，空调制冷应完好无损，开关接触良好。</w:t>
      </w:r>
    </w:p>
    <w:p>
      <w:pPr>
        <w:spacing w:line="360" w:lineRule="auto"/>
        <w:rPr>
          <w:rFonts w:ascii="宋体" w:hAnsi="宋体" w:cs="宋体"/>
          <w:szCs w:val="21"/>
        </w:rPr>
      </w:pPr>
      <w:r>
        <w:rPr>
          <w:rFonts w:hint="eastAsia" w:ascii="宋体" w:hAnsi="宋体" w:cs="宋体"/>
          <w:szCs w:val="21"/>
        </w:rPr>
        <w:t>（2）湿度状况：在正常情况下，机房的长期工作环境相对湿度应在10%RH～95%RH之间，短期工作环境相对湿度应在5%RH～95%RH之间。</w:t>
      </w:r>
    </w:p>
    <w:p>
      <w:pPr>
        <w:spacing w:line="360" w:lineRule="auto"/>
        <w:rPr>
          <w:rFonts w:ascii="宋体" w:hAnsi="宋体" w:cs="宋体"/>
          <w:szCs w:val="21"/>
        </w:rPr>
      </w:pPr>
      <w:r>
        <w:rPr>
          <w:rFonts w:hint="eastAsia" w:ascii="宋体" w:hAnsi="宋体" w:cs="宋体"/>
          <w:szCs w:val="21"/>
        </w:rPr>
        <w:t>网络设备硬件维护要求：</w:t>
      </w:r>
    </w:p>
    <w:p>
      <w:pPr>
        <w:spacing w:line="360" w:lineRule="auto"/>
        <w:rPr>
          <w:rFonts w:ascii="宋体" w:hAnsi="宋体" w:cs="宋体"/>
          <w:szCs w:val="21"/>
        </w:rPr>
      </w:pPr>
      <w:r>
        <w:rPr>
          <w:rFonts w:hint="eastAsia" w:ascii="宋体" w:hAnsi="宋体" w:cs="宋体"/>
          <w:szCs w:val="21"/>
        </w:rPr>
        <w:t>（1）清洁状况：设备外壳、设备内部、机架内各防尘网、地板应干净整洁、无明显尘土附着。保证机柜防尘网的清洁状况，及时清洗或更换，以免影响机柜门及风扇框的通风、散热。</w:t>
      </w:r>
    </w:p>
    <w:p>
      <w:pPr>
        <w:spacing w:line="360" w:lineRule="auto"/>
        <w:rPr>
          <w:rFonts w:ascii="宋体" w:hAnsi="宋体" w:cs="宋体"/>
          <w:szCs w:val="21"/>
        </w:rPr>
      </w:pPr>
      <w:r>
        <w:rPr>
          <w:rFonts w:hint="eastAsia" w:ascii="宋体" w:hAnsi="宋体" w:cs="宋体"/>
          <w:szCs w:val="21"/>
        </w:rPr>
        <w:t>（2）散热状况：设备正常工作时，要求保持风扇正常运转（清理风扇期间除外）。禁止在设备子架上通风口处放置杂物，应定期清理风扇的防尘网。</w:t>
      </w:r>
    </w:p>
    <w:p>
      <w:pPr>
        <w:spacing w:line="360" w:lineRule="auto"/>
        <w:rPr>
          <w:rFonts w:ascii="宋体" w:hAnsi="宋体" w:cs="宋体"/>
          <w:szCs w:val="21"/>
        </w:rPr>
      </w:pPr>
      <w:r>
        <w:rPr>
          <w:rFonts w:hint="eastAsia" w:ascii="宋体" w:hAnsi="宋体" w:cs="宋体"/>
          <w:szCs w:val="21"/>
        </w:rPr>
        <w:t>（3）线缆布放：电源线与业务线缆分开布放。电源线布放整齐、有序。业务线缆布放整齐、有序。线缆长时间运行后，容易出现松动的现象。应定期检查接业务的线缆是否出现松动的情况。</w:t>
      </w:r>
    </w:p>
    <w:p>
      <w:pPr>
        <w:spacing w:line="360" w:lineRule="auto"/>
        <w:rPr>
          <w:rFonts w:ascii="宋体" w:hAnsi="宋体" w:cs="宋体"/>
          <w:szCs w:val="21"/>
        </w:rPr>
      </w:pPr>
      <w:r>
        <w:rPr>
          <w:rFonts w:hint="eastAsia" w:ascii="宋体" w:hAnsi="宋体" w:cs="宋体"/>
          <w:szCs w:val="21"/>
        </w:rPr>
        <w:t>（4）线缆标签：观察机柜内部线缆标签情况。线缆标签清晰、准确，符合规范。</w:t>
      </w:r>
    </w:p>
    <w:p>
      <w:pPr>
        <w:spacing w:line="360" w:lineRule="auto"/>
        <w:rPr>
          <w:rFonts w:ascii="宋体" w:hAnsi="宋体" w:cs="宋体"/>
          <w:szCs w:val="21"/>
        </w:rPr>
      </w:pPr>
      <w:r>
        <w:rPr>
          <w:rFonts w:hint="eastAsia" w:ascii="宋体" w:hAnsi="宋体" w:cs="宋体"/>
          <w:szCs w:val="21"/>
        </w:rPr>
        <w:t>（5）机框外观：观察机框是否完整。空闲槽位是否有假面板保护。</w:t>
      </w:r>
    </w:p>
    <w:p>
      <w:pPr>
        <w:spacing w:line="360" w:lineRule="auto"/>
        <w:rPr>
          <w:rFonts w:ascii="宋体" w:hAnsi="宋体" w:cs="宋体"/>
          <w:szCs w:val="21"/>
        </w:rPr>
      </w:pPr>
      <w:r>
        <w:rPr>
          <w:rFonts w:hint="eastAsia" w:ascii="宋体" w:hAnsi="宋体" w:cs="宋体"/>
          <w:szCs w:val="21"/>
        </w:rPr>
        <w:t>（6）光接口板：光接口板上未用的光口需用防尘帽盖住。以免灰尘进入光口，降低发光口的输出光功率和收光口的接收灵敏度。需定期对尾纤淸洁度进行检查。</w:t>
      </w:r>
    </w:p>
    <w:p>
      <w:pPr>
        <w:spacing w:line="360" w:lineRule="auto"/>
        <w:rPr>
          <w:rFonts w:ascii="宋体" w:hAnsi="宋体" w:cs="宋体"/>
          <w:szCs w:val="21"/>
        </w:rPr>
      </w:pPr>
      <w:r>
        <w:rPr>
          <w:rFonts w:hint="eastAsia" w:ascii="宋体" w:hAnsi="宋体" w:cs="宋体"/>
          <w:szCs w:val="21"/>
        </w:rPr>
        <w:t>网络设备告警及数据配置维护要求：</w:t>
      </w:r>
    </w:p>
    <w:p>
      <w:pPr>
        <w:spacing w:line="360" w:lineRule="auto"/>
        <w:rPr>
          <w:rFonts w:ascii="宋体" w:hAnsi="宋体" w:cs="宋体"/>
          <w:szCs w:val="21"/>
        </w:rPr>
      </w:pPr>
      <w:r>
        <w:rPr>
          <w:rFonts w:hint="eastAsia" w:ascii="宋体" w:hAnsi="宋体" w:cs="宋体"/>
          <w:szCs w:val="21"/>
        </w:rPr>
        <w:t>（1）性能信息: 应定时查看网元的性能时间，包括误码和指针调整次数等。</w:t>
      </w:r>
    </w:p>
    <w:p>
      <w:pPr>
        <w:spacing w:line="360" w:lineRule="auto"/>
        <w:rPr>
          <w:rFonts w:ascii="宋体" w:hAnsi="宋体" w:cs="宋体"/>
          <w:szCs w:val="21"/>
        </w:rPr>
      </w:pPr>
      <w:r>
        <w:rPr>
          <w:rFonts w:hint="eastAsia" w:ascii="宋体" w:hAnsi="宋体" w:cs="宋体"/>
          <w:szCs w:val="21"/>
        </w:rPr>
        <w:t>对于复用网段，应定时查看各网元倒换状态是否正常。若发现网元不正常或协议停止，需立即分析并处理。</w:t>
      </w:r>
    </w:p>
    <w:p>
      <w:pPr>
        <w:spacing w:line="360" w:lineRule="auto"/>
        <w:rPr>
          <w:rFonts w:ascii="宋体" w:hAnsi="宋体" w:cs="宋体"/>
          <w:szCs w:val="21"/>
        </w:rPr>
      </w:pPr>
      <w:r>
        <w:rPr>
          <w:rFonts w:hint="eastAsia" w:ascii="宋体" w:hAnsi="宋体" w:cs="宋体"/>
          <w:szCs w:val="21"/>
        </w:rPr>
        <w:t>（2）告警信息：正常情况下，应该无告警信息。如果有告警，需要记录，对于严重以上告警，需立即分析并处理。</w:t>
      </w:r>
    </w:p>
    <w:p>
      <w:pPr>
        <w:spacing w:line="360" w:lineRule="auto"/>
        <w:rPr>
          <w:rFonts w:ascii="宋体" w:hAnsi="宋体" w:cs="宋体"/>
          <w:szCs w:val="21"/>
        </w:rPr>
      </w:pPr>
      <w:r>
        <w:rPr>
          <w:rFonts w:hint="eastAsia" w:ascii="宋体" w:hAnsi="宋体" w:cs="宋体"/>
          <w:szCs w:val="21"/>
        </w:rPr>
        <w:t>（3）日志信息：正常情况下，日志中不应该有大量重复的信息。如果有这种情况出现，需立即分析并处理。</w:t>
      </w:r>
    </w:p>
    <w:p>
      <w:pPr>
        <w:spacing w:line="360" w:lineRule="auto"/>
        <w:rPr>
          <w:rFonts w:ascii="宋体" w:hAnsi="宋体" w:cs="宋体"/>
          <w:szCs w:val="21"/>
        </w:rPr>
      </w:pPr>
      <w:r>
        <w:rPr>
          <w:rFonts w:hint="eastAsia" w:ascii="宋体" w:hAnsi="宋体" w:cs="宋体"/>
          <w:szCs w:val="21"/>
        </w:rPr>
        <w:t>（4）CPU占用状态：正常情况时，CPU的占用率应低于80%。如果CPU占用率长时间过高，应检查设备，分析原因。</w:t>
      </w:r>
    </w:p>
    <w:p>
      <w:pPr>
        <w:spacing w:line="360" w:lineRule="auto"/>
        <w:rPr>
          <w:rFonts w:ascii="宋体" w:hAnsi="宋体" w:cs="宋体"/>
          <w:szCs w:val="21"/>
        </w:rPr>
      </w:pPr>
      <w:r>
        <w:rPr>
          <w:rFonts w:hint="eastAsia" w:ascii="宋体" w:hAnsi="宋体" w:cs="宋体"/>
          <w:szCs w:val="21"/>
        </w:rPr>
        <w:t>（5）内存占用率：正常情况下，内存的占用率应低于80%，且当前状态显示为正常。如果长时间过高，应检查设备，查询原因。</w:t>
      </w:r>
    </w:p>
    <w:p>
      <w:pPr>
        <w:spacing w:line="360" w:lineRule="auto"/>
        <w:rPr>
          <w:rFonts w:ascii="宋体" w:hAnsi="宋体" w:cs="宋体"/>
          <w:szCs w:val="21"/>
        </w:rPr>
      </w:pPr>
      <w:r>
        <w:rPr>
          <w:rFonts w:hint="eastAsia" w:ascii="宋体" w:hAnsi="宋体" w:cs="宋体"/>
          <w:szCs w:val="21"/>
        </w:rPr>
        <w:t>（6）接口流量：把当前流量和接口带宽比较，如果使用率超过端口带宽的80％，需要记录并确认。并检查接口下的入方向和出方向是否有错误统计，重点关注错误统计的增长情况。</w:t>
      </w:r>
    </w:p>
    <w:p>
      <w:pPr>
        <w:spacing w:line="360" w:lineRule="auto"/>
        <w:rPr>
          <w:rFonts w:ascii="宋体" w:hAnsi="宋体" w:cs="宋体"/>
          <w:szCs w:val="21"/>
        </w:rPr>
      </w:pPr>
      <w:r>
        <w:rPr>
          <w:rFonts w:hint="eastAsia" w:ascii="宋体" w:hAnsi="宋体" w:cs="宋体"/>
          <w:szCs w:val="21"/>
        </w:rPr>
        <w:t>（7）配置文件：查看当前配置信息和保存配置信息是否一致，运行配置需要与保存过的配置相同。</w:t>
      </w:r>
    </w:p>
    <w:p>
      <w:pPr>
        <w:spacing w:line="360" w:lineRule="auto"/>
        <w:rPr>
          <w:rFonts w:ascii="宋体" w:hAnsi="宋体" w:cs="宋体"/>
          <w:szCs w:val="21"/>
        </w:rPr>
      </w:pPr>
      <w:r>
        <w:rPr>
          <w:rFonts w:hint="eastAsia" w:ascii="宋体" w:hAnsi="宋体" w:cs="宋体"/>
          <w:szCs w:val="21"/>
        </w:rPr>
        <w:t>（8）接口配置：检查接口的状态和接口下的配置。</w:t>
      </w:r>
    </w:p>
    <w:p>
      <w:pPr>
        <w:spacing w:line="360" w:lineRule="auto"/>
        <w:rPr>
          <w:rFonts w:ascii="宋体" w:hAnsi="宋体" w:cs="宋体"/>
          <w:szCs w:val="21"/>
        </w:rPr>
      </w:pPr>
      <w:r>
        <w:rPr>
          <w:rFonts w:hint="eastAsia" w:ascii="宋体" w:hAnsi="宋体" w:cs="宋体"/>
          <w:szCs w:val="21"/>
        </w:rPr>
        <w:t>（9）系统时间：查询系统日期和时间。时间应与当地实际时间一致（时间差不大于5分钟）。</w:t>
      </w:r>
    </w:p>
    <w:p>
      <w:pPr>
        <w:spacing w:line="360" w:lineRule="auto"/>
        <w:rPr>
          <w:rFonts w:ascii="宋体" w:hAnsi="宋体" w:cs="宋体"/>
          <w:szCs w:val="21"/>
        </w:rPr>
      </w:pPr>
      <w:r>
        <w:rPr>
          <w:rFonts w:hint="eastAsia" w:ascii="宋体" w:hAnsi="宋体" w:cs="宋体"/>
          <w:szCs w:val="21"/>
        </w:rPr>
        <w:t>1.3UPS维护需求</w:t>
      </w:r>
    </w:p>
    <w:p>
      <w:pPr>
        <w:spacing w:line="360" w:lineRule="auto"/>
        <w:rPr>
          <w:rFonts w:ascii="宋体" w:hAnsi="宋体" w:cs="宋体"/>
          <w:szCs w:val="21"/>
        </w:rPr>
      </w:pPr>
      <w:r>
        <w:rPr>
          <w:rFonts w:hint="eastAsia" w:ascii="宋体" w:hAnsi="宋体" w:cs="宋体"/>
          <w:szCs w:val="21"/>
        </w:rPr>
        <w:t>维护人员按下述要求为采购人的设备提供维护服务，并对发现的问题做及时处理。维护保障服务内容：</w:t>
      </w:r>
    </w:p>
    <w:p>
      <w:pPr>
        <w:spacing w:line="360" w:lineRule="auto"/>
        <w:rPr>
          <w:rFonts w:ascii="宋体" w:hAnsi="宋体" w:cs="宋体"/>
          <w:szCs w:val="21"/>
        </w:rPr>
      </w:pPr>
      <w:r>
        <w:rPr>
          <w:rFonts w:hint="eastAsia" w:ascii="宋体" w:hAnsi="宋体" w:cs="宋体"/>
          <w:szCs w:val="21"/>
        </w:rPr>
        <w:t>（1）检查所有电气连接；</w:t>
      </w:r>
    </w:p>
    <w:p>
      <w:pPr>
        <w:spacing w:line="360" w:lineRule="auto"/>
        <w:rPr>
          <w:rFonts w:ascii="宋体" w:hAnsi="宋体" w:cs="宋体"/>
          <w:szCs w:val="21"/>
        </w:rPr>
      </w:pPr>
      <w:r>
        <w:rPr>
          <w:rFonts w:hint="eastAsia" w:ascii="宋体" w:hAnsi="宋体" w:cs="宋体"/>
          <w:szCs w:val="21"/>
        </w:rPr>
        <w:t>（2）进行放电测试；</w:t>
      </w:r>
    </w:p>
    <w:p>
      <w:pPr>
        <w:spacing w:line="360" w:lineRule="auto"/>
        <w:rPr>
          <w:rFonts w:ascii="宋体" w:hAnsi="宋体" w:cs="宋体"/>
          <w:szCs w:val="21"/>
        </w:rPr>
      </w:pPr>
      <w:r>
        <w:rPr>
          <w:rFonts w:hint="eastAsia" w:ascii="宋体" w:hAnsi="宋体" w:cs="宋体"/>
          <w:szCs w:val="21"/>
        </w:rPr>
        <w:t>（3）检测电池运行的转换是否正常；</w:t>
      </w:r>
    </w:p>
    <w:p>
      <w:pPr>
        <w:spacing w:line="360" w:lineRule="auto"/>
        <w:rPr>
          <w:rFonts w:ascii="宋体" w:hAnsi="宋体" w:cs="宋体"/>
          <w:szCs w:val="21"/>
        </w:rPr>
      </w:pPr>
      <w:r>
        <w:rPr>
          <w:rFonts w:hint="eastAsia" w:ascii="宋体" w:hAnsi="宋体" w:cs="宋体"/>
          <w:szCs w:val="21"/>
        </w:rPr>
        <w:t>（4）清理内部灰尘杂物；</w:t>
      </w:r>
    </w:p>
    <w:p>
      <w:pPr>
        <w:spacing w:line="360" w:lineRule="auto"/>
        <w:rPr>
          <w:rFonts w:ascii="宋体" w:hAnsi="宋体" w:cs="宋体"/>
          <w:szCs w:val="21"/>
        </w:rPr>
      </w:pPr>
      <w:r>
        <w:rPr>
          <w:rFonts w:hint="eastAsia" w:ascii="宋体" w:hAnsi="宋体" w:cs="宋体"/>
          <w:szCs w:val="21"/>
        </w:rPr>
        <w:t>（5）检测内部静态旁路；</w:t>
      </w:r>
    </w:p>
    <w:p>
      <w:pPr>
        <w:spacing w:line="360" w:lineRule="auto"/>
        <w:rPr>
          <w:rFonts w:ascii="宋体" w:hAnsi="宋体" w:cs="宋体"/>
          <w:szCs w:val="21"/>
        </w:rPr>
      </w:pPr>
      <w:r>
        <w:rPr>
          <w:rFonts w:hint="eastAsia" w:ascii="宋体" w:hAnsi="宋体" w:cs="宋体"/>
          <w:szCs w:val="21"/>
        </w:rPr>
        <w:t>（6）检查内部所有控制线路及带电线路是否绝缘良好；</w:t>
      </w:r>
    </w:p>
    <w:p>
      <w:pPr>
        <w:spacing w:line="360" w:lineRule="auto"/>
        <w:rPr>
          <w:rFonts w:ascii="宋体" w:hAnsi="宋体" w:cs="宋体"/>
          <w:szCs w:val="21"/>
        </w:rPr>
      </w:pPr>
      <w:r>
        <w:rPr>
          <w:rFonts w:hint="eastAsia" w:ascii="宋体" w:hAnsi="宋体" w:cs="宋体"/>
          <w:szCs w:val="21"/>
        </w:rPr>
        <w:t>（7）断电情况下对UPS系统内部所有端子进行物理检查；</w:t>
      </w:r>
    </w:p>
    <w:p>
      <w:pPr>
        <w:spacing w:line="360" w:lineRule="auto"/>
        <w:rPr>
          <w:rFonts w:ascii="宋体" w:hAnsi="宋体" w:cs="宋体"/>
          <w:szCs w:val="21"/>
        </w:rPr>
      </w:pPr>
      <w:r>
        <w:rPr>
          <w:rFonts w:hint="eastAsia" w:ascii="宋体" w:hAnsi="宋体" w:cs="宋体"/>
          <w:szCs w:val="21"/>
        </w:rPr>
        <w:t>（8）按客户要求实施功能检测；</w:t>
      </w:r>
    </w:p>
    <w:p>
      <w:pPr>
        <w:spacing w:line="360" w:lineRule="auto"/>
        <w:rPr>
          <w:rFonts w:ascii="宋体" w:hAnsi="宋体" w:cs="宋体"/>
          <w:szCs w:val="21"/>
        </w:rPr>
      </w:pPr>
      <w:r>
        <w:rPr>
          <w:rFonts w:hint="eastAsia" w:ascii="宋体" w:hAnsi="宋体" w:cs="宋体"/>
          <w:szCs w:val="21"/>
        </w:rPr>
        <w:t>（9）应具备相应的单机/联机软件，对UPS的工作记录和报警记录进行检查，根据记录情况进行预防性维护；</w:t>
      </w:r>
    </w:p>
    <w:p>
      <w:pPr>
        <w:spacing w:line="360" w:lineRule="auto"/>
        <w:rPr>
          <w:rFonts w:ascii="宋体" w:hAnsi="宋体" w:cs="宋体"/>
          <w:szCs w:val="21"/>
        </w:rPr>
      </w:pPr>
      <w:r>
        <w:rPr>
          <w:rFonts w:hint="eastAsia" w:ascii="宋体" w:hAnsi="宋体" w:cs="宋体"/>
          <w:szCs w:val="21"/>
        </w:rPr>
        <w:t>（10）检查布线是否正确，记录相关情况；</w:t>
      </w:r>
    </w:p>
    <w:p>
      <w:pPr>
        <w:spacing w:line="360" w:lineRule="auto"/>
        <w:rPr>
          <w:rFonts w:ascii="宋体" w:hAnsi="宋体" w:cs="宋体"/>
          <w:szCs w:val="21"/>
        </w:rPr>
      </w:pPr>
      <w:r>
        <w:rPr>
          <w:rFonts w:hint="eastAsia" w:ascii="宋体" w:hAnsi="宋体" w:cs="宋体"/>
          <w:szCs w:val="21"/>
        </w:rPr>
        <w:t>（11）检查UPS设备，以确保所有连接处紧固，无松动；</w:t>
      </w:r>
    </w:p>
    <w:p>
      <w:pPr>
        <w:spacing w:line="360" w:lineRule="auto"/>
        <w:rPr>
          <w:rFonts w:ascii="宋体" w:hAnsi="宋体" w:cs="宋体"/>
          <w:szCs w:val="21"/>
        </w:rPr>
      </w:pPr>
      <w:r>
        <w:rPr>
          <w:rFonts w:hint="eastAsia" w:ascii="宋体" w:hAnsi="宋体" w:cs="宋体"/>
          <w:szCs w:val="21"/>
        </w:rPr>
        <w:t>（12）确认内部功能正常；</w:t>
      </w:r>
    </w:p>
    <w:p>
      <w:pPr>
        <w:spacing w:line="360" w:lineRule="auto"/>
        <w:rPr>
          <w:rFonts w:ascii="宋体" w:hAnsi="宋体" w:cs="宋体"/>
          <w:szCs w:val="21"/>
        </w:rPr>
      </w:pPr>
      <w:r>
        <w:rPr>
          <w:rFonts w:hint="eastAsia" w:ascii="宋体" w:hAnsi="宋体" w:cs="宋体"/>
          <w:szCs w:val="21"/>
        </w:rPr>
        <w:t>（13）检查旁路工作是否正常，包括静态旁路和手动旁路。</w:t>
      </w:r>
    </w:p>
    <w:p>
      <w:pPr>
        <w:spacing w:line="360" w:lineRule="auto"/>
        <w:rPr>
          <w:rFonts w:ascii="宋体" w:hAnsi="宋体" w:cs="宋体"/>
          <w:szCs w:val="21"/>
        </w:rPr>
      </w:pPr>
      <w:r>
        <w:rPr>
          <w:rFonts w:hint="eastAsia" w:ascii="宋体" w:hAnsi="宋体" w:cs="宋体"/>
          <w:szCs w:val="21"/>
        </w:rPr>
        <w:t>2.警用视频监控系统维护需求</w:t>
      </w:r>
    </w:p>
    <w:p>
      <w:pPr>
        <w:spacing w:line="360" w:lineRule="auto"/>
        <w:rPr>
          <w:rFonts w:ascii="宋体" w:hAnsi="宋体" w:cs="宋体"/>
          <w:szCs w:val="21"/>
        </w:rPr>
      </w:pPr>
      <w:r>
        <w:rPr>
          <w:rFonts w:hint="eastAsia" w:ascii="宋体" w:hAnsi="宋体" w:cs="宋体"/>
          <w:szCs w:val="21"/>
        </w:rPr>
        <w:t>2.1日常维护需求</w:t>
      </w:r>
    </w:p>
    <w:p>
      <w:pPr>
        <w:spacing w:line="360" w:lineRule="auto"/>
        <w:rPr>
          <w:rFonts w:ascii="宋体" w:hAnsi="宋体" w:cs="宋体"/>
          <w:szCs w:val="21"/>
        </w:rPr>
      </w:pPr>
      <w:r>
        <w:rPr>
          <w:rFonts w:hint="eastAsia" w:ascii="宋体" w:hAnsi="宋体" w:cs="宋体"/>
          <w:szCs w:val="21"/>
        </w:rPr>
        <w:t>（1）对视频监控进行日常检查，检查摄像机设备是否在线，图像是否异常，及时发现问题并处理。</w:t>
      </w:r>
    </w:p>
    <w:p>
      <w:pPr>
        <w:spacing w:line="360" w:lineRule="auto"/>
        <w:rPr>
          <w:rFonts w:ascii="宋体" w:hAnsi="宋体" w:cs="宋体"/>
          <w:szCs w:val="21"/>
        </w:rPr>
      </w:pPr>
      <w:r>
        <w:rPr>
          <w:rFonts w:hint="eastAsia" w:ascii="宋体" w:hAnsi="宋体" w:cs="宋体"/>
          <w:szCs w:val="21"/>
        </w:rPr>
        <w:t>（2）对监控系统及设备的运行情况进行监控，分析运行情况，及时发现并排除故障。如：网络设备、服务器系统、监控终端及各种终端外设。桌面系统的运行检查，网络及桌面系统的病毒防御。</w:t>
      </w:r>
    </w:p>
    <w:p>
      <w:pPr>
        <w:spacing w:line="360" w:lineRule="auto"/>
        <w:rPr>
          <w:rFonts w:ascii="宋体" w:hAnsi="宋体" w:cs="宋体"/>
          <w:szCs w:val="21"/>
        </w:rPr>
      </w:pPr>
      <w:r>
        <w:rPr>
          <w:rFonts w:hint="eastAsia" w:ascii="宋体" w:hAnsi="宋体" w:cs="宋体"/>
          <w:szCs w:val="21"/>
        </w:rPr>
        <w:t>（3）根据监控系统各设备的使用说明，每月检测其各项技术参数及监控系统传输线路质量，处理故障隐患，协助监控主管设定使用级别等各种数据，确保各设备各项功能良好，能够正常运行。</w:t>
      </w:r>
    </w:p>
    <w:p>
      <w:pPr>
        <w:spacing w:line="360" w:lineRule="auto"/>
        <w:rPr>
          <w:rFonts w:ascii="宋体" w:hAnsi="宋体" w:cs="宋体"/>
          <w:szCs w:val="21"/>
        </w:rPr>
      </w:pPr>
      <w:r>
        <w:rPr>
          <w:rFonts w:hint="eastAsia" w:ascii="宋体" w:hAnsi="宋体" w:cs="宋体"/>
          <w:szCs w:val="21"/>
        </w:rPr>
        <w:t>2.2月度维护需求</w:t>
      </w:r>
    </w:p>
    <w:p>
      <w:pPr>
        <w:spacing w:line="360" w:lineRule="auto"/>
        <w:rPr>
          <w:rFonts w:ascii="宋体" w:hAnsi="宋体" w:cs="宋体"/>
          <w:szCs w:val="21"/>
        </w:rPr>
      </w:pPr>
      <w:r>
        <w:rPr>
          <w:rFonts w:hint="eastAsia" w:ascii="宋体" w:hAnsi="宋体" w:cs="宋体"/>
          <w:szCs w:val="21"/>
        </w:rPr>
        <w:t>（1）每月定期巡查地铁监控摄像机在线情况，确保监控摄像机在线率达到95%以上。采购人定期对监控摄像机在线情况进行考核。</w:t>
      </w:r>
    </w:p>
    <w:p>
      <w:pPr>
        <w:spacing w:line="360" w:lineRule="auto"/>
        <w:rPr>
          <w:rFonts w:ascii="宋体" w:hAnsi="宋体" w:cs="宋体"/>
          <w:szCs w:val="21"/>
        </w:rPr>
      </w:pPr>
      <w:r>
        <w:rPr>
          <w:rFonts w:hint="eastAsia" w:ascii="宋体" w:hAnsi="宋体" w:cs="宋体"/>
          <w:szCs w:val="21"/>
        </w:rPr>
        <w:t>（2）对容易老化的监控设备部件每月一次进行全面检查，一旦发现老化现象应及时更换、维修，如接头等。</w:t>
      </w:r>
    </w:p>
    <w:p>
      <w:pPr>
        <w:spacing w:line="360" w:lineRule="auto"/>
        <w:rPr>
          <w:rFonts w:ascii="宋体" w:hAnsi="宋体" w:cs="宋体"/>
          <w:szCs w:val="21"/>
        </w:rPr>
      </w:pPr>
      <w:r>
        <w:rPr>
          <w:rFonts w:hint="eastAsia" w:ascii="宋体" w:hAnsi="宋体" w:cs="宋体"/>
          <w:szCs w:val="21"/>
        </w:rPr>
        <w:t>（3）对易吸尘部份每季度定期清理一次，如显示器暴露在空气中，由于屏幕的静电作用，会有许多灰尘被吸附在显示器表面，影响画面的清晰度，要定期擦拭显示器，校对显示器的颜色及亮度。</w:t>
      </w:r>
    </w:p>
    <w:p>
      <w:pPr>
        <w:spacing w:line="360" w:lineRule="auto"/>
        <w:rPr>
          <w:rFonts w:ascii="宋体" w:hAnsi="宋体" w:cs="宋体"/>
          <w:szCs w:val="21"/>
        </w:rPr>
      </w:pPr>
      <w:r>
        <w:rPr>
          <w:rFonts w:hint="eastAsia" w:ascii="宋体" w:hAnsi="宋体" w:cs="宋体"/>
          <w:szCs w:val="21"/>
        </w:rPr>
        <w:t>（4）对长时间工作的录像存储设备每月定期维护一次，如录像存储设备长时间工作会产生较多的热量，一旦其电风扇有故障，会影响排热，以免录像存储设备工作不正常。</w:t>
      </w:r>
    </w:p>
    <w:p>
      <w:pPr>
        <w:spacing w:line="360" w:lineRule="auto"/>
        <w:rPr>
          <w:rFonts w:ascii="宋体" w:hAnsi="宋体" w:cs="宋体"/>
          <w:szCs w:val="21"/>
        </w:rPr>
      </w:pPr>
      <w:r>
        <w:rPr>
          <w:rFonts w:hint="eastAsia" w:ascii="宋体" w:hAnsi="宋体" w:cs="宋体"/>
          <w:szCs w:val="21"/>
        </w:rPr>
        <w:t>（5）每月定期对监控系统和设备进行优化：合理安排监控中心的监控网络需求，如带宽、IP地址等限制。提供每月一次的监控系统网络性能检测，包括网络的连通性、稳定性及带宽的利用率等；实时检测所有可能影响监控网络设备的外来网络攻击，实时监控各服务器运行状态、流量及入侵监控等。对异常情况，进行核查，并进行相关的处理。根据用户需要进行监控网络的规划、优化；协助处理服务器软硬件故障及进行相关硬件软件的拆装等。</w:t>
      </w:r>
    </w:p>
    <w:p>
      <w:pPr>
        <w:spacing w:line="360" w:lineRule="auto"/>
        <w:rPr>
          <w:rFonts w:ascii="宋体" w:hAnsi="宋体" w:cs="宋体"/>
          <w:szCs w:val="21"/>
        </w:rPr>
      </w:pPr>
      <w:r>
        <w:rPr>
          <w:rFonts w:hint="eastAsia" w:ascii="宋体" w:hAnsi="宋体" w:cs="宋体"/>
          <w:szCs w:val="21"/>
        </w:rPr>
        <w:t>（6）每季度一次设备的除尘、清理，扫净监控设备显露的尘土，对摄像机、防护罩等部件要卸下彻底吹风除尘，之后用无水酒精棉将各个镜头擦干净，调整清晰度，防止由于机器运转、静电等因素将尘土吸入监控设备机体内，确保机器正常运行。同时检查监控机房通风、散热、净尘、供电等设施。室外温度应在－20 ℃～＋60℃，相对湿度应在10％～100％；室内温度应控制在＋5℃～＋35℃，相对湿度应控制在10％～80％，留给机房监控设备一个良好的运行环境。</w:t>
      </w:r>
    </w:p>
    <w:p>
      <w:pPr>
        <w:spacing w:line="360" w:lineRule="auto"/>
        <w:rPr>
          <w:rFonts w:ascii="宋体" w:hAnsi="宋体" w:cs="宋体"/>
          <w:szCs w:val="21"/>
        </w:rPr>
      </w:pPr>
      <w:r>
        <w:rPr>
          <w:rFonts w:hint="eastAsia" w:ascii="宋体" w:hAnsi="宋体" w:cs="宋体"/>
          <w:szCs w:val="21"/>
        </w:rPr>
        <w:t>3.警用无线通信系统维护需求</w:t>
      </w:r>
    </w:p>
    <w:p>
      <w:pPr>
        <w:spacing w:line="360" w:lineRule="auto"/>
        <w:rPr>
          <w:rFonts w:ascii="宋体" w:hAnsi="宋体" w:cs="宋体"/>
          <w:szCs w:val="21"/>
        </w:rPr>
      </w:pPr>
      <w:r>
        <w:rPr>
          <w:rFonts w:hint="eastAsia" w:ascii="宋体" w:hAnsi="宋体" w:cs="宋体"/>
          <w:szCs w:val="21"/>
        </w:rPr>
        <w:t>3.1每月对系统设备进行常规清洁一次</w:t>
      </w:r>
    </w:p>
    <w:p>
      <w:pPr>
        <w:spacing w:line="360" w:lineRule="auto"/>
        <w:rPr>
          <w:rFonts w:ascii="宋体" w:hAnsi="宋体" w:cs="宋体"/>
          <w:szCs w:val="21"/>
        </w:rPr>
      </w:pPr>
      <w:r>
        <w:rPr>
          <w:rFonts w:hint="eastAsia" w:ascii="宋体" w:hAnsi="宋体" w:cs="宋体"/>
          <w:szCs w:val="21"/>
        </w:rPr>
        <w:t>（1）基站设备表面清洁和机房环境卫生（包括：基站外壳清洁、内部吸尘及基站环境卫生）。</w:t>
      </w:r>
    </w:p>
    <w:p>
      <w:pPr>
        <w:spacing w:line="360" w:lineRule="auto"/>
        <w:rPr>
          <w:rFonts w:ascii="宋体" w:hAnsi="宋体" w:cs="宋体"/>
          <w:szCs w:val="21"/>
        </w:rPr>
      </w:pPr>
      <w:r>
        <w:rPr>
          <w:rFonts w:hint="eastAsia" w:ascii="宋体" w:hAnsi="宋体" w:cs="宋体"/>
          <w:szCs w:val="21"/>
        </w:rPr>
        <w:t>（2）检测基站天馈系统外观是否有损坏（包括：天线馈线、馈线头及转换线是否连接正常）。</w:t>
      </w:r>
    </w:p>
    <w:p>
      <w:pPr>
        <w:spacing w:line="360" w:lineRule="auto"/>
        <w:rPr>
          <w:rFonts w:ascii="宋体" w:hAnsi="宋体" w:cs="宋体"/>
          <w:szCs w:val="21"/>
        </w:rPr>
      </w:pPr>
      <w:r>
        <w:rPr>
          <w:rFonts w:hint="eastAsia" w:ascii="宋体" w:hAnsi="宋体" w:cs="宋体"/>
          <w:szCs w:val="21"/>
        </w:rPr>
        <w:t>（3）检测基站的供电情况（包括：市电是否正常和备用电池是否有电）。</w:t>
      </w:r>
    </w:p>
    <w:p>
      <w:pPr>
        <w:spacing w:line="360" w:lineRule="auto"/>
        <w:rPr>
          <w:rFonts w:ascii="宋体" w:hAnsi="宋体" w:cs="宋体"/>
          <w:szCs w:val="21"/>
        </w:rPr>
      </w:pPr>
      <w:r>
        <w:rPr>
          <w:rFonts w:hint="eastAsia" w:ascii="宋体" w:hAnsi="宋体" w:cs="宋体"/>
          <w:szCs w:val="21"/>
        </w:rPr>
        <w:t>（4）检测基站工作电流、电压是否正常。</w:t>
      </w:r>
    </w:p>
    <w:p>
      <w:pPr>
        <w:spacing w:line="360" w:lineRule="auto"/>
        <w:rPr>
          <w:rFonts w:ascii="宋体" w:hAnsi="宋体" w:cs="宋体"/>
          <w:szCs w:val="21"/>
        </w:rPr>
      </w:pPr>
      <w:r>
        <w:rPr>
          <w:rFonts w:hint="eastAsia" w:ascii="宋体" w:hAnsi="宋体" w:cs="宋体"/>
          <w:szCs w:val="21"/>
        </w:rPr>
        <w:t>（5）观测基站指示灯是否工作正常。</w:t>
      </w:r>
    </w:p>
    <w:p>
      <w:pPr>
        <w:spacing w:line="360" w:lineRule="auto"/>
        <w:rPr>
          <w:rFonts w:ascii="宋体" w:hAnsi="宋体" w:cs="宋体"/>
          <w:szCs w:val="21"/>
        </w:rPr>
      </w:pPr>
      <w:r>
        <w:rPr>
          <w:rFonts w:hint="eastAsia" w:ascii="宋体" w:hAnsi="宋体" w:cs="宋体"/>
          <w:szCs w:val="21"/>
        </w:rPr>
        <w:t>（6）检测有线链路是否正常（若异常需负责解决基站至本地通讯之间的故障处理）</w:t>
      </w:r>
    </w:p>
    <w:p>
      <w:pPr>
        <w:spacing w:line="360" w:lineRule="auto"/>
        <w:rPr>
          <w:rFonts w:ascii="宋体" w:hAnsi="宋体" w:cs="宋体"/>
          <w:szCs w:val="21"/>
        </w:rPr>
      </w:pPr>
      <w:r>
        <w:rPr>
          <w:rFonts w:hint="eastAsia" w:ascii="宋体" w:hAnsi="宋体" w:cs="宋体"/>
          <w:szCs w:val="21"/>
        </w:rPr>
        <w:t>3.2每季度系统设备的统调不少于一次</w:t>
      </w:r>
    </w:p>
    <w:p>
      <w:pPr>
        <w:spacing w:line="360" w:lineRule="auto"/>
        <w:rPr>
          <w:rFonts w:ascii="宋体" w:hAnsi="宋体" w:cs="宋体"/>
          <w:szCs w:val="21"/>
        </w:rPr>
      </w:pPr>
      <w:r>
        <w:rPr>
          <w:rFonts w:hint="eastAsia" w:ascii="宋体" w:hAnsi="宋体" w:cs="宋体"/>
          <w:szCs w:val="21"/>
        </w:rPr>
        <w:t>具体保养调试项目包括：</w:t>
      </w:r>
    </w:p>
    <w:p>
      <w:pPr>
        <w:spacing w:line="360" w:lineRule="auto"/>
        <w:rPr>
          <w:rFonts w:ascii="宋体" w:hAnsi="宋体" w:cs="宋体"/>
          <w:szCs w:val="21"/>
        </w:rPr>
      </w:pPr>
      <w:r>
        <w:rPr>
          <w:rFonts w:hint="eastAsia" w:ascii="宋体" w:hAnsi="宋体" w:cs="宋体"/>
          <w:szCs w:val="21"/>
        </w:rPr>
        <w:t>（1）检测基站收发设备是否正常（包括：输出载波功率测试、调制灵敏度测试、参考灵敏度测试音频失真测试、静噪开启和锁闭电平测试、调制接收宽带测试、发射电流及灵敏度测试等）。</w:t>
      </w:r>
    </w:p>
    <w:p>
      <w:pPr>
        <w:spacing w:line="360" w:lineRule="auto"/>
        <w:rPr>
          <w:rFonts w:ascii="宋体" w:hAnsi="宋体" w:cs="宋体"/>
          <w:szCs w:val="21"/>
        </w:rPr>
      </w:pPr>
      <w:r>
        <w:rPr>
          <w:rFonts w:hint="eastAsia" w:ascii="宋体" w:hAnsi="宋体" w:cs="宋体"/>
          <w:szCs w:val="21"/>
        </w:rPr>
        <w:t>（2）检验天馈系统的驻波比参数、输出功率和反射功率。</w:t>
      </w:r>
    </w:p>
    <w:p>
      <w:pPr>
        <w:spacing w:line="360" w:lineRule="auto"/>
        <w:rPr>
          <w:rFonts w:ascii="宋体" w:hAnsi="宋体" w:cs="宋体"/>
          <w:szCs w:val="21"/>
        </w:rPr>
      </w:pPr>
      <w:r>
        <w:rPr>
          <w:rFonts w:hint="eastAsia" w:ascii="宋体" w:hAnsi="宋体" w:cs="宋体"/>
          <w:szCs w:val="21"/>
        </w:rPr>
        <w:t>（3）检测基站频率误差。</w:t>
      </w:r>
    </w:p>
    <w:p>
      <w:pPr>
        <w:spacing w:line="360" w:lineRule="auto"/>
        <w:rPr>
          <w:rFonts w:ascii="宋体" w:hAnsi="宋体" w:cs="宋体"/>
          <w:szCs w:val="21"/>
        </w:rPr>
      </w:pPr>
      <w:r>
        <w:rPr>
          <w:rFonts w:hint="eastAsia" w:ascii="宋体" w:hAnsi="宋体" w:cs="宋体"/>
          <w:szCs w:val="21"/>
        </w:rPr>
        <w:t>（4）观测基站指示灯是否工作正常。</w:t>
      </w:r>
    </w:p>
    <w:p>
      <w:pPr>
        <w:spacing w:line="360" w:lineRule="auto"/>
        <w:rPr>
          <w:rFonts w:ascii="宋体" w:hAnsi="宋体" w:cs="宋体"/>
          <w:szCs w:val="21"/>
        </w:rPr>
      </w:pPr>
      <w:r>
        <w:rPr>
          <w:rFonts w:hint="eastAsia" w:ascii="宋体" w:hAnsi="宋体" w:cs="宋体"/>
          <w:szCs w:val="21"/>
        </w:rPr>
        <w:t>（5）定期巡查地铁轨行区警用通信泄露电缆等设备，开展维护保养、隐患排查、整治工作，确保地铁轨行区警用通信设备不发生松脱、侵入地铁列车限界等的安全事故。合同期间巡检轨行区警用通信设备次数不少于4次。</w:t>
      </w:r>
    </w:p>
    <w:p>
      <w:pPr>
        <w:spacing w:line="360" w:lineRule="auto"/>
        <w:rPr>
          <w:rFonts w:ascii="宋体" w:hAnsi="宋体" w:cs="宋体"/>
          <w:szCs w:val="21"/>
        </w:rPr>
      </w:pPr>
      <w:r>
        <w:rPr>
          <w:rFonts w:ascii="宋体" w:hAnsi="宋体" w:cs="宋体"/>
          <w:szCs w:val="21"/>
        </w:rPr>
        <w:t>4</w:t>
      </w:r>
      <w:r>
        <w:rPr>
          <w:rFonts w:hint="eastAsia" w:ascii="宋体" w:hAnsi="宋体" w:cs="宋体"/>
          <w:szCs w:val="21"/>
        </w:rPr>
        <w:t>.其他维护需求</w:t>
      </w:r>
    </w:p>
    <w:p>
      <w:pPr>
        <w:spacing w:line="360" w:lineRule="auto"/>
        <w:rPr>
          <w:rFonts w:ascii="宋体" w:hAnsi="宋体" w:cs="宋体"/>
          <w:szCs w:val="21"/>
        </w:rPr>
      </w:pPr>
      <w:r>
        <w:rPr>
          <w:rFonts w:hint="eastAsia" w:ascii="宋体" w:hAnsi="宋体" w:cs="宋体"/>
          <w:szCs w:val="21"/>
        </w:rPr>
        <w:t>4.1中标人应定期维护测试检查各项指标达到本项目的系统和设备应有标准。</w:t>
      </w:r>
    </w:p>
    <w:p>
      <w:pPr>
        <w:spacing w:line="360" w:lineRule="auto"/>
        <w:rPr>
          <w:rFonts w:ascii="宋体" w:hAnsi="宋体" w:cs="宋体"/>
          <w:szCs w:val="21"/>
        </w:rPr>
      </w:pPr>
      <w:r>
        <w:rPr>
          <w:rFonts w:hint="eastAsia" w:ascii="宋体" w:hAnsi="宋体" w:cs="宋体"/>
          <w:szCs w:val="21"/>
        </w:rPr>
        <w:t>4.2维护与维修所需的设备和测试仪器由中标人提供。</w:t>
      </w:r>
    </w:p>
    <w:p>
      <w:pPr>
        <w:spacing w:line="360" w:lineRule="auto"/>
        <w:rPr>
          <w:rFonts w:ascii="宋体" w:hAnsi="宋体" w:cs="宋体"/>
          <w:szCs w:val="21"/>
        </w:rPr>
      </w:pPr>
      <w:r>
        <w:rPr>
          <w:rFonts w:hint="eastAsia" w:ascii="宋体" w:hAnsi="宋体" w:cs="宋体"/>
          <w:szCs w:val="21"/>
        </w:rPr>
        <w:t>4.3遇节假日、重大活动及重大事件等情况下，中标人应按照采购人的要求立即安排合适的工程师到地铁现场配合保障。</w:t>
      </w:r>
    </w:p>
    <w:p>
      <w:pPr>
        <w:spacing w:line="360" w:lineRule="auto"/>
        <w:rPr>
          <w:rFonts w:ascii="宋体" w:hAnsi="宋体" w:cs="宋体"/>
          <w:szCs w:val="21"/>
        </w:rPr>
      </w:pPr>
      <w:r>
        <w:rPr>
          <w:rFonts w:hint="eastAsia" w:ascii="宋体" w:hAnsi="宋体" w:cs="宋体"/>
          <w:szCs w:val="21"/>
        </w:rPr>
        <w:t>4.4中标人应为本项目提供备品备件，当关键设备出现故障时，必须立即提供相应型号的设备代替使用，保证系统在正常状态下运行，直到故障设备修复完毕。</w:t>
      </w:r>
    </w:p>
    <w:p>
      <w:pPr>
        <w:spacing w:line="360" w:lineRule="auto"/>
        <w:rPr>
          <w:rFonts w:ascii="宋体" w:hAnsi="宋体" w:cs="宋体"/>
          <w:szCs w:val="21"/>
        </w:rPr>
      </w:pPr>
      <w:r>
        <w:rPr>
          <w:rFonts w:hint="eastAsia" w:ascii="宋体" w:hAnsi="宋体" w:cs="宋体"/>
          <w:szCs w:val="21"/>
        </w:rPr>
        <w:t>4.5每次完成维修检验后，中标人应提交维护检修文档，检修文档应有检修人员签名，故障处理结束后，应提交正式故障处理报告，报告中应包括故障原因，处理过程等。</w:t>
      </w:r>
    </w:p>
    <w:p>
      <w:pPr>
        <w:spacing w:line="360" w:lineRule="auto"/>
        <w:rPr>
          <w:rFonts w:ascii="宋体" w:hAnsi="宋体" w:cs="宋体"/>
          <w:b/>
          <w:bCs/>
          <w:szCs w:val="21"/>
        </w:rPr>
      </w:pPr>
      <w:r>
        <w:rPr>
          <w:rFonts w:hint="eastAsia" w:ascii="宋体" w:hAnsi="宋体" w:cs="宋体"/>
          <w:b/>
          <w:bCs/>
          <w:szCs w:val="21"/>
        </w:rPr>
        <w:t>（六）网络安全服务需求</w:t>
      </w:r>
    </w:p>
    <w:p>
      <w:pPr>
        <w:spacing w:line="360" w:lineRule="auto"/>
        <w:rPr>
          <w:rFonts w:ascii="宋体" w:hAnsi="宋体" w:cs="宋体"/>
          <w:szCs w:val="21"/>
        </w:rPr>
      </w:pPr>
      <w:r>
        <w:rPr>
          <w:rFonts w:hint="eastAsia" w:ascii="宋体" w:hAnsi="宋体" w:cs="宋体"/>
          <w:szCs w:val="21"/>
        </w:rPr>
        <w:t>中标人应提供本项目范围内的网络安全监测服务，加强维护范围内的信息安全防护能力，合同期内开展不少于6次的安全漏洞扫描工作，配合做好采购人的网络安全防护工作。</w:t>
      </w:r>
    </w:p>
    <w:p>
      <w:pPr>
        <w:spacing w:line="360" w:lineRule="auto"/>
        <w:rPr>
          <w:rFonts w:hint="eastAsia" w:ascii="宋体" w:hAnsi="宋体" w:eastAsia="宋体" w:cs="宋体"/>
          <w:b/>
          <w:bCs/>
          <w:szCs w:val="21"/>
          <w:highlight w:val="yellow"/>
          <w:lang w:eastAsia="zh-CN"/>
        </w:rPr>
      </w:pPr>
      <w:r>
        <w:rPr>
          <w:rFonts w:hint="eastAsia" w:ascii="宋体" w:hAnsi="宋体" w:cs="宋体"/>
          <w:b/>
          <w:bCs/>
          <w:szCs w:val="21"/>
          <w:highlight w:val="yellow"/>
        </w:rPr>
        <w:t>★（七）监理监督</w:t>
      </w:r>
      <w:r>
        <w:rPr>
          <w:rFonts w:hint="eastAsia" w:ascii="宋体" w:hAnsi="宋体" w:cs="宋体"/>
          <w:b/>
          <w:bCs/>
          <w:szCs w:val="21"/>
          <w:highlight w:val="yellow"/>
          <w:lang w:val="en-US" w:eastAsia="zh-CN"/>
        </w:rPr>
        <w:t>要求</w:t>
      </w:r>
    </w:p>
    <w:p>
      <w:pPr>
        <w:pStyle w:val="18"/>
        <w:rPr>
          <w:rFonts w:ascii="宋体" w:hAnsi="宋体" w:cs="宋体"/>
          <w:b w:val="0"/>
          <w:bCs w:val="0"/>
          <w:sz w:val="21"/>
          <w:szCs w:val="21"/>
        </w:rPr>
      </w:pPr>
      <w:r>
        <w:rPr>
          <w:rFonts w:hint="eastAsia" w:ascii="宋体" w:hAnsi="宋体" w:cs="宋体"/>
          <w:sz w:val="21"/>
          <w:szCs w:val="21"/>
          <w:highlight w:val="yellow"/>
        </w:rPr>
        <w:t>本项目实行项目监理制，采购人另行聘请监理单位，由监理单位负责对项目运维质量和进度进行监督，中标人应承诺自觉接受和配合监理单位的监督。</w:t>
      </w:r>
    </w:p>
    <w:p>
      <w:pPr>
        <w:adjustRightInd w:val="0"/>
        <w:spacing w:before="156" w:beforeLines="50" w:after="156"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pPr>
        <w:pStyle w:val="16"/>
        <w:spacing w:line="360" w:lineRule="auto"/>
        <w:rPr>
          <w:rFonts w:hAnsi="宋体" w:cs="宋体"/>
          <w:sz w:val="21"/>
          <w:szCs w:val="21"/>
        </w:rPr>
      </w:pPr>
      <w:r>
        <w:rPr>
          <w:rFonts w:hint="eastAsia" w:hAnsi="宋体" w:cs="宋体"/>
          <w:b/>
          <w:bCs/>
          <w:sz w:val="21"/>
          <w:szCs w:val="21"/>
          <w:highlight w:val="none"/>
        </w:rPr>
        <w:t>（一）服务期限：</w:t>
      </w:r>
      <w:r>
        <w:rPr>
          <w:rFonts w:hint="eastAsia" w:hAnsi="宋体" w:cs="宋体"/>
          <w:b w:val="0"/>
          <w:bCs w:val="0"/>
          <w:sz w:val="21"/>
          <w:szCs w:val="21"/>
          <w:highlight w:val="none"/>
        </w:rPr>
        <w:t>服务期自合同签订之日起一年。本项目为长期服务项目，合同累计履行期限最长不得超过三十六个月。服务期满后采购人可根据项目需求和中标供应商的履约情况确定合同期限是否延长，最多续签两次，合同一年一签。</w:t>
      </w:r>
    </w:p>
    <w:p>
      <w:pPr>
        <w:adjustRightInd w:val="0"/>
        <w:spacing w:line="360" w:lineRule="auto"/>
        <w:jc w:val="left"/>
        <w:textAlignment w:val="baseline"/>
        <w:outlineLvl w:val="1"/>
        <w:rPr>
          <w:rFonts w:ascii="宋体" w:hAnsi="宋体" w:cs="宋体"/>
          <w:kern w:val="0"/>
          <w:szCs w:val="21"/>
        </w:rPr>
      </w:pPr>
      <w:r>
        <w:rPr>
          <w:rFonts w:hint="eastAsia" w:ascii="宋体" w:hAnsi="宋体" w:cs="宋体"/>
          <w:b/>
          <w:bCs/>
          <w:kern w:val="0"/>
          <w:szCs w:val="21"/>
        </w:rPr>
        <w:t>（二）服务地点：</w:t>
      </w:r>
      <w:r>
        <w:rPr>
          <w:rFonts w:hint="eastAsia" w:ascii="宋体" w:hAnsi="宋体" w:cs="宋体"/>
          <w:kern w:val="0"/>
          <w:szCs w:val="21"/>
        </w:rPr>
        <w:t>采购人指定地点。</w:t>
      </w:r>
    </w:p>
    <w:p>
      <w:pPr>
        <w:adjustRightInd w:val="0"/>
        <w:spacing w:line="360" w:lineRule="auto"/>
        <w:jc w:val="left"/>
        <w:textAlignment w:val="baseline"/>
        <w:outlineLvl w:val="1"/>
        <w:rPr>
          <w:rFonts w:ascii="宋体" w:hAnsi="宋体" w:cs="宋体"/>
          <w:kern w:val="0"/>
          <w:szCs w:val="21"/>
        </w:rPr>
      </w:pPr>
      <w:r>
        <w:rPr>
          <w:rFonts w:hint="eastAsia" w:ascii="宋体" w:hAnsi="宋体" w:cs="宋体"/>
          <w:b/>
          <w:bCs/>
          <w:kern w:val="0"/>
          <w:szCs w:val="21"/>
        </w:rPr>
        <w:t>（三）付款方式：</w:t>
      </w:r>
    </w:p>
    <w:p>
      <w:pPr>
        <w:pStyle w:val="18"/>
        <w:rPr>
          <w:rFonts w:ascii="宋体" w:hAnsi="宋体" w:cs="宋体"/>
          <w:b w:val="0"/>
          <w:bCs w:val="0"/>
          <w:sz w:val="21"/>
          <w:szCs w:val="21"/>
        </w:rPr>
      </w:pPr>
      <w:r>
        <w:rPr>
          <w:rFonts w:hint="eastAsia" w:ascii="宋体" w:hAnsi="宋体" w:cs="宋体"/>
          <w:b w:val="0"/>
          <w:bCs w:val="0"/>
          <w:sz w:val="21"/>
          <w:szCs w:val="21"/>
        </w:rPr>
        <w:t>按照财政相关政策进行支付</w:t>
      </w:r>
      <w:r>
        <w:rPr>
          <w:rFonts w:hint="eastAsia" w:ascii="宋体" w:hAnsi="宋体" w:cs="宋体"/>
          <w:b w:val="0"/>
          <w:bCs w:val="0"/>
          <w:sz w:val="21"/>
          <w:szCs w:val="21"/>
          <w:lang w:eastAsia="zh-CN"/>
        </w:rPr>
        <w:t>，</w:t>
      </w:r>
      <w:r>
        <w:rPr>
          <w:rFonts w:hint="eastAsia" w:ascii="宋体" w:hAnsi="宋体" w:cs="宋体"/>
          <w:b w:val="0"/>
          <w:bCs w:val="0"/>
          <w:sz w:val="21"/>
          <w:szCs w:val="21"/>
        </w:rPr>
        <w:t>采购人按照相关程序提交财政支付申办手续即视为已履行支付义务，如因政府有关部门超期审批等原因造成采购人付款迟延的，不视为采购人违约。具体支付方式和时间如下：</w:t>
      </w:r>
    </w:p>
    <w:p>
      <w:pPr>
        <w:pStyle w:val="18"/>
        <w:rPr>
          <w:rFonts w:hint="eastAsia" w:ascii="宋体" w:hAnsi="宋体" w:cs="宋体"/>
          <w:b w:val="0"/>
          <w:bCs w:val="0"/>
          <w:sz w:val="21"/>
          <w:szCs w:val="21"/>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1</w:t>
      </w:r>
      <w:r>
        <w:rPr>
          <w:rFonts w:hint="eastAsia" w:ascii="宋体" w:hAnsi="宋体" w:cs="宋体"/>
          <w:b w:val="0"/>
          <w:bCs w:val="0"/>
          <w:sz w:val="21"/>
          <w:szCs w:val="21"/>
          <w:lang w:eastAsia="zh-CN"/>
        </w:rPr>
        <w:t>）</w:t>
      </w:r>
      <w:r>
        <w:rPr>
          <w:rFonts w:hint="eastAsia" w:ascii="宋体" w:hAnsi="宋体" w:cs="宋体"/>
          <w:b w:val="0"/>
          <w:bCs w:val="0"/>
          <w:sz w:val="21"/>
          <w:szCs w:val="21"/>
        </w:rPr>
        <w:t>合同签订后，采购人向</w:t>
      </w:r>
      <w:r>
        <w:rPr>
          <w:rFonts w:hint="eastAsia" w:ascii="宋体" w:hAnsi="宋体" w:cs="宋体"/>
          <w:b w:val="0"/>
          <w:bCs w:val="0"/>
          <w:sz w:val="21"/>
          <w:szCs w:val="21"/>
          <w:lang w:val="en-US" w:eastAsia="zh-CN"/>
        </w:rPr>
        <w:t>中标人</w:t>
      </w:r>
      <w:r>
        <w:rPr>
          <w:rFonts w:hint="eastAsia" w:ascii="宋体" w:hAnsi="宋体" w:cs="宋体"/>
          <w:b w:val="0"/>
          <w:bCs w:val="0"/>
          <w:sz w:val="21"/>
          <w:szCs w:val="21"/>
        </w:rPr>
        <w:t>支付预付款（合同金额的</w:t>
      </w:r>
      <w:r>
        <w:rPr>
          <w:rFonts w:hint="eastAsia" w:ascii="宋体" w:hAnsi="宋体" w:cs="宋体"/>
          <w:b w:val="0"/>
          <w:bCs w:val="0"/>
          <w:sz w:val="21"/>
          <w:szCs w:val="21"/>
          <w:lang w:val="en-US" w:eastAsia="zh-CN"/>
        </w:rPr>
        <w:t>30</w:t>
      </w:r>
      <w:r>
        <w:rPr>
          <w:rFonts w:hint="eastAsia" w:ascii="宋体" w:hAnsi="宋体" w:cs="宋体"/>
          <w:b w:val="0"/>
          <w:bCs w:val="0"/>
          <w:sz w:val="21"/>
          <w:szCs w:val="21"/>
        </w:rPr>
        <w:t>%到70%</w:t>
      </w:r>
      <w:r>
        <w:rPr>
          <w:rFonts w:hint="eastAsia" w:ascii="宋体" w:hAnsi="宋体" w:cs="宋体"/>
          <w:b w:val="0"/>
          <w:bCs w:val="0"/>
          <w:sz w:val="21"/>
          <w:szCs w:val="21"/>
          <w:lang w:eastAsia="zh-CN"/>
        </w:rPr>
        <w:t>，对于资信状况良好、履约能力较强的中标</w:t>
      </w:r>
      <w:r>
        <w:rPr>
          <w:rFonts w:hint="eastAsia" w:ascii="宋体" w:hAnsi="宋体" w:cs="宋体"/>
          <w:b w:val="0"/>
          <w:bCs w:val="0"/>
          <w:sz w:val="21"/>
          <w:szCs w:val="21"/>
          <w:lang w:val="en-US" w:eastAsia="zh-CN"/>
        </w:rPr>
        <w:t>人</w:t>
      </w:r>
      <w:r>
        <w:rPr>
          <w:rFonts w:hint="eastAsia" w:ascii="宋体" w:hAnsi="宋体" w:cs="宋体"/>
          <w:b w:val="0"/>
          <w:bCs w:val="0"/>
          <w:sz w:val="21"/>
          <w:szCs w:val="21"/>
          <w:lang w:eastAsia="zh-CN"/>
        </w:rPr>
        <w:t>，可适当提高预付款比例，但最高不得超过合同金额的70%</w:t>
      </w:r>
      <w:r>
        <w:rPr>
          <w:rFonts w:hint="eastAsia" w:ascii="宋体" w:hAnsi="宋体" w:cs="宋体"/>
          <w:b w:val="0"/>
          <w:bCs w:val="0"/>
          <w:sz w:val="21"/>
          <w:szCs w:val="21"/>
        </w:rPr>
        <w:t>）。</w:t>
      </w:r>
    </w:p>
    <w:p>
      <w:pPr>
        <w:pStyle w:val="18"/>
        <w:rPr>
          <w:rFonts w:hint="eastAsia" w:ascii="宋体" w:hAnsi="宋体" w:eastAsia="宋体" w:cs="宋体"/>
          <w:b w:val="0"/>
          <w:bCs w:val="0"/>
          <w:sz w:val="21"/>
          <w:szCs w:val="21"/>
          <w:lang w:eastAsia="zh-CN"/>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2</w:t>
      </w:r>
      <w:r>
        <w:rPr>
          <w:rFonts w:hint="eastAsia" w:ascii="宋体" w:hAnsi="宋体" w:cs="宋体"/>
          <w:b w:val="0"/>
          <w:bCs w:val="0"/>
          <w:sz w:val="21"/>
          <w:szCs w:val="21"/>
          <w:lang w:eastAsia="zh-CN"/>
        </w:rPr>
        <w:t>）</w:t>
      </w:r>
      <w:r>
        <w:rPr>
          <w:rFonts w:hint="eastAsia" w:ascii="宋体" w:hAnsi="宋体" w:cs="宋体"/>
          <w:b w:val="0"/>
          <w:bCs w:val="0"/>
          <w:sz w:val="21"/>
          <w:szCs w:val="21"/>
        </w:rPr>
        <w:t>合同签订六个月后，采购人</w:t>
      </w:r>
      <w:r>
        <w:rPr>
          <w:rFonts w:hint="eastAsia" w:ascii="宋体" w:hAnsi="宋体" w:cs="宋体"/>
          <w:b w:val="0"/>
          <w:bCs w:val="0"/>
          <w:sz w:val="21"/>
          <w:szCs w:val="21"/>
          <w:lang w:val="en-US" w:eastAsia="zh-CN"/>
        </w:rPr>
        <w:t>向</w:t>
      </w:r>
      <w:r>
        <w:rPr>
          <w:rFonts w:hint="eastAsia" w:ascii="宋体" w:hAnsi="宋体" w:cs="宋体"/>
          <w:b w:val="0"/>
          <w:bCs w:val="0"/>
          <w:sz w:val="21"/>
          <w:szCs w:val="21"/>
        </w:rPr>
        <w:t>中标人</w:t>
      </w:r>
      <w:r>
        <w:rPr>
          <w:rFonts w:hint="eastAsia" w:ascii="宋体" w:hAnsi="宋体" w:cs="宋体"/>
          <w:b w:val="0"/>
          <w:bCs w:val="0"/>
          <w:sz w:val="21"/>
          <w:szCs w:val="21"/>
          <w:lang w:val="en-US" w:eastAsia="zh-CN"/>
        </w:rPr>
        <w:t>支付中期进度款</w:t>
      </w:r>
      <w:r>
        <w:rPr>
          <w:rFonts w:hint="eastAsia" w:ascii="宋体" w:hAnsi="宋体" w:cs="宋体"/>
          <w:b w:val="0"/>
          <w:bCs w:val="0"/>
          <w:sz w:val="21"/>
          <w:szCs w:val="21"/>
        </w:rPr>
        <w:t>（合同金额的</w:t>
      </w:r>
      <w:r>
        <w:rPr>
          <w:rFonts w:hint="eastAsia" w:ascii="宋体" w:hAnsi="宋体" w:cs="宋体"/>
          <w:b w:val="0"/>
          <w:bCs w:val="0"/>
          <w:sz w:val="21"/>
          <w:szCs w:val="21"/>
          <w:lang w:val="en-US" w:eastAsia="zh-CN"/>
        </w:rPr>
        <w:t>20</w:t>
      </w:r>
      <w:r>
        <w:rPr>
          <w:rFonts w:hint="eastAsia" w:ascii="宋体" w:hAnsi="宋体" w:cs="宋体"/>
          <w:b w:val="0"/>
          <w:bCs w:val="0"/>
          <w:sz w:val="21"/>
          <w:szCs w:val="21"/>
        </w:rPr>
        <w:t>%到</w:t>
      </w:r>
      <w:r>
        <w:rPr>
          <w:rFonts w:hint="eastAsia" w:ascii="宋体" w:hAnsi="宋体" w:cs="宋体"/>
          <w:b w:val="0"/>
          <w:bCs w:val="0"/>
          <w:sz w:val="21"/>
          <w:szCs w:val="21"/>
          <w:lang w:val="en-US" w:eastAsia="zh-CN"/>
        </w:rPr>
        <w:t>60</w:t>
      </w:r>
      <w:r>
        <w:rPr>
          <w:rFonts w:hint="eastAsia" w:ascii="宋体" w:hAnsi="宋体" w:cs="宋体"/>
          <w:b w:val="0"/>
          <w:bCs w:val="0"/>
          <w:sz w:val="21"/>
          <w:szCs w:val="21"/>
        </w:rPr>
        <w:t>%</w:t>
      </w: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按已支付的预付款金额比例调整</w:t>
      </w:r>
      <w:r>
        <w:rPr>
          <w:rFonts w:hint="eastAsia" w:ascii="宋体" w:hAnsi="宋体" w:cs="宋体"/>
          <w:b w:val="0"/>
          <w:bCs w:val="0"/>
          <w:sz w:val="21"/>
          <w:szCs w:val="21"/>
          <w:lang w:eastAsia="zh-CN"/>
        </w:rPr>
        <w:t>）。</w:t>
      </w:r>
    </w:p>
    <w:p>
      <w:pPr>
        <w:pStyle w:val="18"/>
        <w:rPr>
          <w:rFonts w:hint="default" w:ascii="宋体" w:hAnsi="宋体" w:eastAsia="宋体" w:cs="宋体"/>
          <w:b w:val="0"/>
          <w:bCs w:val="0"/>
          <w:sz w:val="21"/>
          <w:szCs w:val="21"/>
          <w:lang w:val="en-US" w:eastAsia="zh-CN"/>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3</w:t>
      </w:r>
      <w:r>
        <w:rPr>
          <w:rFonts w:hint="eastAsia" w:ascii="宋体" w:hAnsi="宋体" w:cs="宋体"/>
          <w:b w:val="0"/>
          <w:bCs w:val="0"/>
          <w:sz w:val="21"/>
          <w:szCs w:val="21"/>
          <w:lang w:eastAsia="zh-CN"/>
        </w:rPr>
        <w:t>）</w:t>
      </w:r>
      <w:r>
        <w:rPr>
          <w:rFonts w:hint="eastAsia" w:ascii="宋体" w:hAnsi="宋体" w:cs="宋体"/>
          <w:b w:val="0"/>
          <w:bCs w:val="0"/>
          <w:sz w:val="21"/>
          <w:szCs w:val="21"/>
        </w:rPr>
        <w:t>合同服务期结束且经采购人验收合格后，采购人</w:t>
      </w:r>
      <w:r>
        <w:rPr>
          <w:rFonts w:hint="eastAsia" w:ascii="宋体" w:hAnsi="宋体" w:cs="宋体"/>
          <w:b w:val="0"/>
          <w:bCs w:val="0"/>
          <w:sz w:val="21"/>
          <w:szCs w:val="21"/>
          <w:lang w:val="en-US" w:eastAsia="zh-CN"/>
        </w:rPr>
        <w:t>向</w:t>
      </w:r>
      <w:r>
        <w:rPr>
          <w:rFonts w:hint="eastAsia" w:ascii="宋体" w:hAnsi="宋体" w:cs="宋体"/>
          <w:b w:val="0"/>
          <w:bCs w:val="0"/>
          <w:sz w:val="21"/>
          <w:szCs w:val="21"/>
        </w:rPr>
        <w:t>中标人</w:t>
      </w:r>
      <w:r>
        <w:rPr>
          <w:rFonts w:hint="eastAsia" w:ascii="宋体" w:hAnsi="宋体" w:cs="宋体"/>
          <w:b w:val="0"/>
          <w:bCs w:val="0"/>
          <w:sz w:val="21"/>
          <w:szCs w:val="21"/>
          <w:lang w:val="en-US" w:eastAsia="zh-CN"/>
        </w:rPr>
        <w:t>支付尾款（不少于</w:t>
      </w:r>
      <w:r>
        <w:rPr>
          <w:rFonts w:hint="eastAsia" w:ascii="宋体" w:hAnsi="宋体" w:cs="宋体"/>
          <w:b w:val="0"/>
          <w:bCs w:val="0"/>
          <w:sz w:val="21"/>
          <w:szCs w:val="21"/>
        </w:rPr>
        <w:t>合同金额的</w:t>
      </w:r>
      <w:r>
        <w:rPr>
          <w:rFonts w:hint="eastAsia" w:ascii="宋体" w:hAnsi="宋体" w:cs="宋体"/>
          <w:b w:val="0"/>
          <w:bCs w:val="0"/>
          <w:sz w:val="21"/>
          <w:szCs w:val="21"/>
          <w:lang w:val="en-US" w:eastAsia="zh-CN"/>
        </w:rPr>
        <w:t>10%）。</w:t>
      </w:r>
    </w:p>
    <w:p>
      <w:pPr>
        <w:pStyle w:val="18"/>
        <w:rPr>
          <w:rFonts w:hint="eastAsia" w:ascii="宋体" w:hAnsi="宋体" w:eastAsia="宋体" w:cs="宋体"/>
          <w:b w:val="0"/>
          <w:bCs w:val="0"/>
          <w:sz w:val="21"/>
          <w:szCs w:val="21"/>
          <w:lang w:eastAsia="zh-CN"/>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4</w:t>
      </w:r>
      <w:r>
        <w:rPr>
          <w:rFonts w:hint="eastAsia" w:ascii="宋体" w:hAnsi="宋体" w:cs="宋体"/>
          <w:b w:val="0"/>
          <w:bCs w:val="0"/>
          <w:sz w:val="21"/>
          <w:szCs w:val="21"/>
          <w:lang w:eastAsia="zh-CN"/>
        </w:rPr>
        <w:t>）</w:t>
      </w:r>
      <w:r>
        <w:rPr>
          <w:rFonts w:hint="eastAsia" w:ascii="宋体" w:hAnsi="宋体" w:cs="宋体"/>
          <w:b w:val="0"/>
          <w:bCs w:val="0"/>
          <w:sz w:val="21"/>
          <w:szCs w:val="21"/>
        </w:rPr>
        <w:t>付款前，</w:t>
      </w:r>
      <w:r>
        <w:rPr>
          <w:rFonts w:hint="eastAsia" w:ascii="宋体" w:hAnsi="宋体" w:cs="宋体"/>
          <w:b w:val="0"/>
          <w:bCs w:val="0"/>
          <w:sz w:val="21"/>
          <w:szCs w:val="21"/>
          <w:lang w:val="en-US" w:eastAsia="zh-CN"/>
        </w:rPr>
        <w:t>中标人需</w:t>
      </w:r>
      <w:r>
        <w:rPr>
          <w:rFonts w:hint="eastAsia" w:ascii="宋体" w:hAnsi="宋体" w:cs="宋体"/>
          <w:b w:val="0"/>
          <w:bCs w:val="0"/>
          <w:sz w:val="21"/>
          <w:szCs w:val="21"/>
        </w:rPr>
        <w:t>开具符合国家规定的当次支付金额的全额发票给</w:t>
      </w:r>
      <w:r>
        <w:rPr>
          <w:rFonts w:hint="eastAsia" w:ascii="宋体" w:hAnsi="宋体" w:cs="宋体"/>
          <w:b w:val="0"/>
          <w:bCs w:val="0"/>
          <w:sz w:val="21"/>
          <w:szCs w:val="21"/>
          <w:lang w:val="en-US" w:eastAsia="zh-CN"/>
        </w:rPr>
        <w:t>采购人</w:t>
      </w:r>
      <w:r>
        <w:rPr>
          <w:rFonts w:hint="eastAsia" w:ascii="宋体" w:hAnsi="宋体" w:cs="宋体"/>
          <w:b w:val="0"/>
          <w:bCs w:val="0"/>
          <w:sz w:val="21"/>
          <w:szCs w:val="21"/>
        </w:rPr>
        <w:t>，</w:t>
      </w:r>
      <w:r>
        <w:rPr>
          <w:rFonts w:hint="eastAsia" w:ascii="宋体" w:hAnsi="宋体" w:cs="宋体"/>
          <w:b w:val="0"/>
          <w:bCs w:val="0"/>
          <w:sz w:val="21"/>
          <w:szCs w:val="21"/>
          <w:lang w:val="en-US" w:eastAsia="zh-CN"/>
        </w:rPr>
        <w:t>采购人15天内支付合同款项，</w:t>
      </w:r>
      <w:r>
        <w:rPr>
          <w:rFonts w:hint="eastAsia" w:ascii="宋体" w:hAnsi="宋体" w:cs="宋体"/>
          <w:b w:val="0"/>
          <w:bCs w:val="0"/>
          <w:sz w:val="21"/>
          <w:szCs w:val="21"/>
        </w:rPr>
        <w:t>否则</w:t>
      </w:r>
      <w:r>
        <w:rPr>
          <w:rFonts w:hint="eastAsia" w:ascii="宋体" w:hAnsi="宋体" w:cs="宋体"/>
          <w:b w:val="0"/>
          <w:bCs w:val="0"/>
          <w:sz w:val="21"/>
          <w:szCs w:val="21"/>
          <w:lang w:val="en-US" w:eastAsia="zh-CN"/>
        </w:rPr>
        <w:t>采购人</w:t>
      </w:r>
      <w:r>
        <w:rPr>
          <w:rFonts w:hint="eastAsia" w:ascii="宋体" w:hAnsi="宋体" w:cs="宋体"/>
          <w:b w:val="0"/>
          <w:bCs w:val="0"/>
          <w:sz w:val="21"/>
          <w:szCs w:val="21"/>
        </w:rPr>
        <w:t>有权拒绝付款。</w:t>
      </w:r>
    </w:p>
    <w:p>
      <w:pPr>
        <w:adjustRightInd w:val="0"/>
        <w:spacing w:line="360" w:lineRule="auto"/>
        <w:jc w:val="left"/>
        <w:textAlignment w:val="baseline"/>
        <w:outlineLvl w:val="1"/>
        <w:rPr>
          <w:rFonts w:ascii="宋体" w:hAnsi="宋体" w:cs="宋体"/>
          <w:b/>
          <w:bCs/>
          <w:kern w:val="0"/>
          <w:szCs w:val="21"/>
          <w:highlight w:val="yellow"/>
        </w:rPr>
      </w:pPr>
      <w:r>
        <w:rPr>
          <w:rFonts w:hint="eastAsia" w:ascii="宋体" w:hAnsi="宋体" w:cs="宋体"/>
          <w:b/>
          <w:bCs/>
          <w:kern w:val="0"/>
          <w:szCs w:val="21"/>
          <w:highlight w:val="yellow"/>
        </w:rPr>
        <w:t>★（四）质量考核验收标准及违约金：</w:t>
      </w:r>
    </w:p>
    <w:p>
      <w:pPr>
        <w:pStyle w:val="18"/>
        <w:rPr>
          <w:rFonts w:ascii="宋体" w:hAnsi="宋体" w:cs="宋体"/>
          <w:b/>
          <w:bCs/>
          <w:sz w:val="21"/>
          <w:szCs w:val="21"/>
          <w:highlight w:val="yellow"/>
        </w:rPr>
      </w:pPr>
      <w:r>
        <w:rPr>
          <w:rFonts w:ascii="宋体" w:hAnsi="宋体" w:cs="宋体"/>
          <w:b/>
          <w:bCs/>
          <w:sz w:val="21"/>
          <w:szCs w:val="21"/>
          <w:highlight w:val="yellow"/>
        </w:rPr>
        <w:t>1</w:t>
      </w:r>
      <w:r>
        <w:rPr>
          <w:rFonts w:hint="eastAsia" w:ascii="宋体" w:hAnsi="宋体" w:cs="宋体"/>
          <w:b/>
          <w:bCs/>
          <w:sz w:val="21"/>
          <w:szCs w:val="21"/>
          <w:highlight w:val="yellow"/>
        </w:rPr>
        <w:t>.采购人每半年对中标人履约情况进行考核，评定优、良、中、差四个等级，其中评定为良、中、差三个等级的，采购人有权分别扣除合同总价款的5%、10%、15%。如中标人未能达到合同约定的服务及考核要求，采购人有权要求中标人从已收取的合同款项中退回相应考核比例的款项。</w:t>
      </w:r>
    </w:p>
    <w:p>
      <w:pPr>
        <w:adjustRightInd w:val="0"/>
        <w:spacing w:line="360" w:lineRule="auto"/>
        <w:jc w:val="left"/>
        <w:textAlignment w:val="baseline"/>
        <w:outlineLvl w:val="1"/>
        <w:rPr>
          <w:rFonts w:ascii="宋体" w:hAnsi="宋体" w:cs="宋体"/>
          <w:kern w:val="0"/>
          <w:szCs w:val="21"/>
        </w:rPr>
      </w:pPr>
      <w:r>
        <w:rPr>
          <w:rFonts w:ascii="宋体" w:hAnsi="宋体" w:cs="宋体"/>
          <w:b/>
          <w:bCs/>
          <w:kern w:val="0"/>
          <w:szCs w:val="21"/>
          <w:highlight w:val="yellow"/>
        </w:rPr>
        <w:t>2</w:t>
      </w:r>
      <w:r>
        <w:rPr>
          <w:rFonts w:hint="eastAsia" w:ascii="宋体" w:hAnsi="宋体" w:cs="宋体"/>
          <w:b/>
          <w:bCs/>
          <w:kern w:val="0"/>
          <w:szCs w:val="21"/>
          <w:highlight w:val="yellow"/>
        </w:rPr>
        <w:t>.质量考核验收标准：采购人聘请专家对本项目中标人的保密工作、信息安全、安全生产、服务人数、服务质量（包括但不限于故障维护响应时间、故障处理时间、设备在线率等）、资料管理等进行履约评价，履约评价满分设100分，综合得分95（含）至100分的评定为优，85（含）至95分的为良60（含）至85分的为中，60分以下的为差。</w:t>
      </w:r>
    </w:p>
    <w:p>
      <w:pPr>
        <w:keepNext/>
        <w:keepLines/>
        <w:adjustRightInd w:val="0"/>
        <w:spacing w:before="156" w:beforeLines="50" w:after="156" w:afterLines="50"/>
        <w:jc w:val="center"/>
        <w:textAlignment w:val="baseline"/>
        <w:outlineLvl w:val="1"/>
        <w:rPr>
          <w:rFonts w:ascii="宋体" w:hAnsi="宋体"/>
          <w:b/>
          <w:bCs/>
          <w:kern w:val="0"/>
          <w:sz w:val="28"/>
          <w:szCs w:val="28"/>
        </w:rPr>
      </w:pPr>
      <w:r>
        <w:rPr>
          <w:rFonts w:hint="eastAsia" w:ascii="宋体" w:hAnsi="宋体"/>
          <w:b/>
          <w:bCs/>
          <w:kern w:val="0"/>
          <w:sz w:val="28"/>
          <w:szCs w:val="28"/>
        </w:rPr>
        <w:t>六、投标报价</w:t>
      </w:r>
    </w:p>
    <w:p>
      <w:pPr>
        <w:spacing w:line="360" w:lineRule="auto"/>
        <w:ind w:firstLine="420" w:firstLineChars="200"/>
        <w:rPr>
          <w:rFonts w:ascii="宋体" w:hAnsi="宋体"/>
          <w:szCs w:val="21"/>
        </w:rPr>
      </w:pPr>
      <w:r>
        <w:rPr>
          <w:rFonts w:hint="eastAsia" w:ascii="宋体" w:hAnsi="宋体"/>
          <w:szCs w:val="21"/>
        </w:rPr>
        <w:t>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、投标人应充分了解项目的位置、情况、道路及任何其它足以影响投标报价的情况，任何因忽视或误解项目情况而导致的索赔或服务期限延长申请将不获批准。</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pPr>
        <w:spacing w:before="78" w:beforeLines="25" w:after="78" w:afterLines="25"/>
        <w:rPr>
          <w:rFonts w:ascii="宋体" w:hAnsi="宋体"/>
          <w:szCs w:val="21"/>
        </w:rPr>
      </w:pPr>
    </w:p>
    <w:p>
      <w:pPr>
        <w:spacing w:before="78" w:beforeLines="25" w:after="78" w:afterLines="25"/>
        <w:rPr>
          <w:rFonts w:ascii="宋体" w:hAnsi="宋体"/>
          <w:szCs w:val="21"/>
        </w:rPr>
      </w:pPr>
    </w:p>
    <w:p>
      <w:pPr>
        <w:rPr>
          <w:rFonts w:ascii="宋体" w:hAnsi="宋体"/>
          <w:b/>
          <w:bCs/>
          <w:sz w:val="24"/>
          <w:szCs w:val="20"/>
        </w:rPr>
      </w:pPr>
      <w:r>
        <w:rPr>
          <w:rFonts w:hint="eastAsia" w:ascii="宋体" w:hAnsi="宋体"/>
          <w:b/>
          <w:bCs/>
          <w:sz w:val="24"/>
          <w:szCs w:val="20"/>
        </w:rPr>
        <w:br w:type="page"/>
      </w:r>
    </w:p>
    <w:p>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pPr>
        <w:rPr>
          <w:rFonts w:ascii="Times New Roman" w:hAnsi="Times New Roman"/>
          <w:b/>
          <w:bCs/>
          <w:sz w:val="24"/>
          <w:szCs w:val="32"/>
        </w:rPr>
      </w:pPr>
      <w:r>
        <w:rPr>
          <w:rFonts w:hint="eastAsia" w:ascii="Times New Roman" w:hAnsi="Times New Roman"/>
          <w:b/>
          <w:bCs/>
          <w:sz w:val="24"/>
          <w:szCs w:val="32"/>
        </w:rPr>
        <w:t>特别提醒：</w:t>
      </w:r>
    </w:p>
    <w:p>
      <w:pPr>
        <w:rPr>
          <w:rFonts w:ascii="Times New Roman" w:hAnsi="Times New Roman"/>
          <w:b/>
          <w:bCs/>
          <w:sz w:val="24"/>
          <w:szCs w:val="32"/>
        </w:rPr>
      </w:pPr>
    </w:p>
    <w:p>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pPr>
        <w:widowControl/>
        <w:jc w:val="center"/>
        <w:rPr>
          <w:rFonts w:ascii="仿宋_GB2312" w:hAnsi="Times New Roman" w:eastAsia="仿宋_GB2312"/>
          <w:kern w:val="0"/>
          <w:sz w:val="24"/>
          <w:szCs w:val="24"/>
          <w:highlight w:val="green"/>
        </w:rPr>
      </w:pPr>
    </w:p>
    <w:p>
      <w:pPr>
        <w:widowControl/>
        <w:ind w:firstLine="480" w:firstLineChars="200"/>
        <w:jc w:val="left"/>
        <w:rPr>
          <w:rFonts w:ascii="仿宋_GB2312" w:hAnsi="Times New Roman" w:eastAsia="仿宋_GB2312"/>
          <w:b/>
          <w:kern w:val="0"/>
          <w:sz w:val="24"/>
          <w:szCs w:val="24"/>
        </w:rPr>
      </w:pPr>
      <w:bookmarkStart w:id="14"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14"/>
    <w:p>
      <w:pPr>
        <w:rPr>
          <w:rFonts w:ascii="仿宋_GB2312" w:hAnsi="Times New Roman" w:eastAsia="仿宋_GB2312"/>
          <w:sz w:val="24"/>
          <w:szCs w:val="24"/>
        </w:rPr>
      </w:pPr>
    </w:p>
    <w:p>
      <w:pPr>
        <w:rPr>
          <w:rFonts w:ascii="宋体" w:hAnsi="宋体"/>
          <w:sz w:val="24"/>
        </w:rPr>
      </w:pPr>
      <w:r>
        <w:rPr>
          <w:rFonts w:hint="eastAsia" w:ascii="宋体" w:hAnsi="宋体"/>
          <w:sz w:val="24"/>
        </w:rPr>
        <w:t>投标文件组成：</w:t>
      </w:r>
    </w:p>
    <w:p>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pPr>
        <w:spacing w:before="78" w:beforeLines="25" w:after="78" w:afterLines="25"/>
        <w:ind w:firstLine="991" w:firstLineChars="472"/>
        <w:rPr>
          <w:rFonts w:ascii="宋体" w:hAnsi="宋体"/>
          <w:szCs w:val="21"/>
        </w:rPr>
      </w:pPr>
      <w:r>
        <w:rPr>
          <w:rFonts w:hint="eastAsia" w:ascii="宋体" w:hAnsi="宋体"/>
          <w:szCs w:val="21"/>
        </w:rPr>
        <w:t>（1）投标函</w:t>
      </w:r>
    </w:p>
    <w:p>
      <w:pPr>
        <w:spacing w:before="78" w:beforeLines="25" w:after="78" w:afterLines="25"/>
        <w:ind w:firstLine="991" w:firstLineChars="472"/>
        <w:rPr>
          <w:rFonts w:ascii="宋体" w:hAnsi="宋体"/>
          <w:szCs w:val="21"/>
        </w:rPr>
      </w:pPr>
      <w:r>
        <w:rPr>
          <w:rFonts w:hint="eastAsia" w:ascii="宋体" w:hAnsi="宋体"/>
          <w:szCs w:val="21"/>
        </w:rPr>
        <w:t>（2）资格响应文件</w:t>
      </w:r>
    </w:p>
    <w:p>
      <w:pPr>
        <w:spacing w:before="78" w:beforeLines="25" w:after="78" w:afterLines="25"/>
        <w:ind w:firstLine="991" w:firstLineChars="472"/>
        <w:rPr>
          <w:rFonts w:ascii="宋体" w:hAnsi="宋体"/>
          <w:szCs w:val="21"/>
        </w:rPr>
      </w:pPr>
      <w:r>
        <w:rPr>
          <w:rFonts w:hint="eastAsia" w:ascii="宋体" w:hAnsi="宋体"/>
          <w:szCs w:val="21"/>
        </w:rPr>
        <w:t>（3）投标人情况介绍</w:t>
      </w:r>
    </w:p>
    <w:p>
      <w:pPr>
        <w:spacing w:before="78" w:beforeLines="25" w:after="78" w:afterLines="25"/>
        <w:ind w:firstLine="991" w:firstLineChars="472"/>
        <w:rPr>
          <w:rFonts w:ascii="宋体" w:hAnsi="宋体"/>
          <w:szCs w:val="21"/>
        </w:rPr>
      </w:pPr>
      <w:r>
        <w:rPr>
          <w:rFonts w:hint="eastAsia" w:ascii="宋体" w:hAnsi="宋体"/>
          <w:szCs w:val="21"/>
        </w:rPr>
        <w:t>（4）符合政府采购扶持政策的证明材料</w:t>
      </w:r>
    </w:p>
    <w:p>
      <w:pPr>
        <w:rPr>
          <w:rFonts w:ascii="宋体" w:hAnsi="宋体"/>
          <w:sz w:val="24"/>
          <w:szCs w:val="24"/>
        </w:rPr>
      </w:pPr>
    </w:p>
    <w:p>
      <w:pPr>
        <w:ind w:firstLine="424" w:firstLineChars="202"/>
        <w:rPr>
          <w:rFonts w:ascii="宋体" w:hAnsi="宋体"/>
          <w:szCs w:val="21"/>
        </w:rPr>
      </w:pPr>
    </w:p>
    <w:p>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pPr>
        <w:spacing w:before="78" w:beforeLines="25" w:after="78" w:afterLines="25"/>
        <w:ind w:firstLine="991" w:firstLineChars="472"/>
        <w:rPr>
          <w:rFonts w:ascii="宋体" w:hAnsi="宋体"/>
          <w:szCs w:val="21"/>
        </w:rPr>
      </w:pPr>
      <w:r>
        <w:rPr>
          <w:rFonts w:hint="eastAsia" w:ascii="宋体" w:hAnsi="宋体"/>
          <w:szCs w:val="21"/>
        </w:rPr>
        <w:t>（5）政府采购违法行为风险知悉确认书</w:t>
      </w:r>
    </w:p>
    <w:p>
      <w:pPr>
        <w:spacing w:before="78" w:beforeLines="25" w:after="78" w:afterLines="25"/>
        <w:ind w:firstLine="991" w:firstLineChars="472"/>
        <w:rPr>
          <w:rFonts w:ascii="宋体" w:hAnsi="宋体"/>
          <w:szCs w:val="21"/>
        </w:rPr>
      </w:pPr>
      <w:r>
        <w:rPr>
          <w:rFonts w:hint="eastAsia" w:ascii="宋体" w:hAnsi="宋体"/>
          <w:szCs w:val="21"/>
        </w:rPr>
        <w:t>（6）法定代表人（负责人）资格证明书</w:t>
      </w:r>
    </w:p>
    <w:p>
      <w:pPr>
        <w:spacing w:before="78" w:beforeLines="25" w:after="78" w:afterLines="25"/>
        <w:ind w:firstLine="991" w:firstLineChars="472"/>
        <w:rPr>
          <w:rFonts w:ascii="宋体" w:hAnsi="宋体"/>
          <w:szCs w:val="21"/>
        </w:rPr>
      </w:pPr>
      <w:r>
        <w:rPr>
          <w:rFonts w:hint="eastAsia" w:ascii="宋体" w:hAnsi="宋体"/>
          <w:szCs w:val="21"/>
        </w:rPr>
        <w:t>（7）投标文件签署授权委托书</w:t>
      </w:r>
    </w:p>
    <w:p>
      <w:pPr>
        <w:spacing w:before="78" w:beforeLines="25" w:after="78" w:afterLines="25"/>
        <w:ind w:firstLine="991" w:firstLineChars="472"/>
        <w:rPr>
          <w:rFonts w:ascii="宋体" w:hAnsi="宋体"/>
          <w:szCs w:val="21"/>
        </w:rPr>
      </w:pPr>
      <w:r>
        <w:rPr>
          <w:rFonts w:hint="eastAsia" w:ascii="宋体" w:hAnsi="宋体"/>
          <w:szCs w:val="21"/>
        </w:rPr>
        <w:t>（8）实质性条款响应情况表</w:t>
      </w:r>
    </w:p>
    <w:p>
      <w:pPr>
        <w:spacing w:before="78" w:beforeLines="25" w:after="78" w:afterLines="25"/>
        <w:ind w:firstLine="991" w:firstLineChars="472"/>
        <w:rPr>
          <w:rFonts w:ascii="宋体" w:hAnsi="宋体"/>
          <w:szCs w:val="21"/>
        </w:rPr>
      </w:pPr>
      <w:r>
        <w:rPr>
          <w:rFonts w:hint="eastAsia" w:ascii="宋体" w:hAnsi="宋体"/>
          <w:szCs w:val="21"/>
        </w:rPr>
        <w:t>（9）详细分项报价清单</w:t>
      </w:r>
    </w:p>
    <w:p>
      <w:pPr>
        <w:spacing w:before="78" w:beforeLines="25" w:after="78" w:afterLines="25"/>
        <w:ind w:firstLine="991" w:firstLineChars="472"/>
        <w:rPr>
          <w:rFonts w:ascii="宋体" w:hAnsi="宋体"/>
          <w:szCs w:val="21"/>
        </w:rPr>
      </w:pPr>
      <w:r>
        <w:rPr>
          <w:rFonts w:hint="eastAsia" w:ascii="宋体" w:hAnsi="宋体"/>
          <w:szCs w:val="21"/>
        </w:rPr>
        <w:t>（10）服务要求</w:t>
      </w:r>
      <w:r>
        <w:rPr>
          <w:rFonts w:ascii="宋体" w:hAnsi="宋体"/>
          <w:szCs w:val="21"/>
        </w:rPr>
        <w:t>偏离表</w:t>
      </w:r>
    </w:p>
    <w:p>
      <w:pPr>
        <w:spacing w:before="78" w:beforeLines="25" w:after="78" w:afterLines="25"/>
        <w:ind w:firstLine="991" w:firstLineChars="472"/>
        <w:rPr>
          <w:rFonts w:ascii="宋体" w:hAnsi="宋体"/>
          <w:szCs w:val="21"/>
        </w:rPr>
      </w:pPr>
      <w:r>
        <w:rPr>
          <w:rFonts w:hint="eastAsia" w:ascii="宋体" w:hAnsi="宋体"/>
          <w:szCs w:val="21"/>
        </w:rPr>
        <w:t>（11）</w:t>
      </w:r>
      <w:r>
        <w:rPr>
          <w:rFonts w:ascii="宋体" w:hAnsi="宋体"/>
          <w:szCs w:val="21"/>
        </w:rPr>
        <w:t>商务</w:t>
      </w:r>
      <w:r>
        <w:rPr>
          <w:rFonts w:hint="eastAsia" w:ascii="宋体" w:hAnsi="宋体"/>
          <w:szCs w:val="21"/>
        </w:rPr>
        <w:t>要求</w:t>
      </w:r>
      <w:r>
        <w:rPr>
          <w:rFonts w:ascii="宋体" w:hAnsi="宋体"/>
          <w:szCs w:val="21"/>
        </w:rPr>
        <w:t>偏离表</w:t>
      </w:r>
    </w:p>
    <w:p>
      <w:pPr>
        <w:spacing w:before="78" w:beforeLines="25" w:after="78" w:afterLines="25"/>
        <w:ind w:firstLine="991" w:firstLineChars="472"/>
        <w:rPr>
          <w:rFonts w:hint="eastAsia" w:asciiTheme="minorEastAsia" w:hAnsiTheme="minorEastAsia" w:eastAsiaTheme="minorEastAsia"/>
          <w:szCs w:val="21"/>
        </w:rPr>
      </w:pPr>
      <w:r>
        <w:rPr>
          <w:rFonts w:hint="eastAsia" w:ascii="宋体" w:hAnsi="宋体"/>
          <w:szCs w:val="21"/>
        </w:rPr>
        <w:t>（12）</w:t>
      </w:r>
      <w:r>
        <w:rPr>
          <w:rFonts w:hint="eastAsia" w:asciiTheme="minorEastAsia" w:hAnsiTheme="minorEastAsia" w:eastAsiaTheme="minorEastAsia"/>
          <w:szCs w:val="21"/>
        </w:rPr>
        <w:t>实施方案</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13</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项目重点难点分析、应对措施及相关的合理化建议</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14</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质量保障措施及方案</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项目完成（服务期满）后的服务承诺</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16</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违约承诺</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拟安排的项目负责人情况（仅限一人）</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18</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拟安排的项目主要团队成员（主要技术人员）情况（项目负责人除外）</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19</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拟投入的服务资源（车辆、场地）情况</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供应商认证情况</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21</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供应商同类项目业绩情况</w:t>
      </w:r>
    </w:p>
    <w:p>
      <w:pPr>
        <w:spacing w:before="78" w:beforeLines="25" w:after="78"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22</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服务网点</w:t>
      </w:r>
    </w:p>
    <w:p>
      <w:pPr>
        <w:spacing w:before="78" w:beforeLines="25" w:after="78" w:afterLines="25"/>
        <w:ind w:firstLine="991" w:firstLineChars="472"/>
        <w:rPr>
          <w:rFonts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23</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诚信评审</w:t>
      </w:r>
    </w:p>
    <w:p>
      <w:pPr>
        <w:spacing w:before="78" w:beforeLines="25" w:after="78" w:afterLines="25"/>
        <w:ind w:firstLine="991" w:firstLineChars="472"/>
        <w:rPr>
          <w:rFonts w:ascii="宋体" w:hAnsi="宋体"/>
          <w:szCs w:val="21"/>
        </w:rPr>
      </w:pPr>
      <w:r>
        <w:rPr>
          <w:rFonts w:hint="eastAsia" w:ascii="宋体" w:hAnsi="宋体"/>
          <w:szCs w:val="21"/>
        </w:rPr>
        <w:t>（2</w:t>
      </w:r>
      <w:r>
        <w:rPr>
          <w:rFonts w:hint="eastAsia" w:ascii="宋体" w:hAnsi="宋体"/>
          <w:szCs w:val="21"/>
          <w:lang w:val="en-US" w:eastAsia="zh-CN"/>
        </w:rPr>
        <w:t>4</w:t>
      </w:r>
      <w:r>
        <w:rPr>
          <w:rFonts w:hint="eastAsia" w:ascii="宋体" w:hAnsi="宋体"/>
          <w:szCs w:val="21"/>
        </w:rPr>
        <w:t>）招标文件要求的其它内容或投标人认为需要补充的资料</w:t>
      </w:r>
    </w:p>
    <w:p>
      <w:pPr>
        <w:spacing w:before="78" w:beforeLines="25" w:after="78" w:afterLines="25"/>
        <w:rPr>
          <w:rFonts w:ascii="宋体" w:hAnsi="宋体"/>
          <w:szCs w:val="21"/>
        </w:rPr>
      </w:pPr>
    </w:p>
    <w:p>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pPr>
        <w:widowControl/>
        <w:jc w:val="left"/>
        <w:rPr>
          <w:rFonts w:ascii="宋体" w:hAnsi="宋体"/>
          <w:szCs w:val="21"/>
        </w:rPr>
      </w:pPr>
      <w:r>
        <w:rPr>
          <w:rFonts w:ascii="宋体" w:hAnsi="宋体"/>
          <w:szCs w:val="21"/>
        </w:rPr>
        <w:br w:type="page"/>
      </w:r>
    </w:p>
    <w:p>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pPr>
        <w:pStyle w:val="3"/>
        <w:keepNext w:val="0"/>
        <w:keepLines w:val="0"/>
        <w:jc w:val="center"/>
        <w:rPr>
          <w:rFonts w:ascii="黑体" w:eastAsia="黑体"/>
          <w:b w:val="0"/>
          <w:sz w:val="24"/>
        </w:rPr>
      </w:pPr>
      <w:r>
        <w:rPr>
          <w:rFonts w:hint="eastAsia" w:ascii="黑体" w:eastAsia="黑体"/>
          <w:b w:val="0"/>
          <w:sz w:val="24"/>
        </w:rPr>
        <w:t>一、投标函</w:t>
      </w:r>
    </w:p>
    <w:p>
      <w:pPr>
        <w:spacing w:line="360" w:lineRule="auto"/>
        <w:rPr>
          <w:rFonts w:ascii="宋体" w:hAnsi="宋体"/>
          <w:szCs w:val="21"/>
        </w:rPr>
      </w:pPr>
      <w:r>
        <w:rPr>
          <w:rFonts w:hint="eastAsia" w:ascii="宋体" w:hAnsi="宋体"/>
          <w:szCs w:val="21"/>
        </w:rPr>
        <w:t xml:space="preserve">深圳市中正招标有限公司：  </w:t>
      </w:r>
    </w:p>
    <w:p>
      <w:pPr>
        <w:spacing w:after="156"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pPr>
        <w:spacing w:after="156"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after="156"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pPr>
        <w:spacing w:after="156"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pPr>
        <w:spacing w:after="156"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pPr>
        <w:ind w:left="540" w:leftChars="257"/>
        <w:rPr>
          <w:szCs w:val="21"/>
          <w:u w:val="single"/>
        </w:rPr>
      </w:pPr>
      <w:r>
        <w:rPr>
          <w:rFonts w:hint="eastAsia"/>
          <w:szCs w:val="21"/>
        </w:rPr>
        <w:t>法定代表人或其委托代理人：</w:t>
      </w:r>
      <w:r>
        <w:rPr>
          <w:rFonts w:hint="eastAsia"/>
          <w:szCs w:val="21"/>
          <w:u w:val="single"/>
        </w:rPr>
        <w:t xml:space="preserve">                   </w:t>
      </w:r>
    </w:p>
    <w:p>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pPr>
        <w:ind w:firstLine="616" w:firstLineChars="257"/>
        <w:rPr>
          <w:sz w:val="24"/>
        </w:rPr>
      </w:pPr>
    </w:p>
    <w:p>
      <w:pPr>
        <w:rPr>
          <w:rFonts w:ascii="宋体" w:hAnsi="宋体"/>
          <w:szCs w:val="21"/>
        </w:rPr>
      </w:pPr>
      <w:r>
        <w:rPr>
          <w:rFonts w:hint="eastAsia"/>
          <w:szCs w:val="21"/>
          <w:u w:val="single"/>
        </w:rPr>
        <w:t>（备注：如联合体投标，投标人一栏仅需填写牵头人的名称）</w:t>
      </w:r>
    </w:p>
    <w:p>
      <w:pPr>
        <w:ind w:firstLine="616" w:firstLineChars="257"/>
        <w:rPr>
          <w:sz w:val="24"/>
        </w:rPr>
      </w:pPr>
      <w:r>
        <w:rPr>
          <w:rFonts w:hint="eastAsia"/>
          <w:sz w:val="24"/>
        </w:rPr>
        <w:t xml:space="preserve">                          </w:t>
      </w:r>
    </w:p>
    <w:p>
      <w:pPr>
        <w:spacing w:after="156" w:afterLines="50"/>
        <w:ind w:firstLine="411" w:firstLineChars="196"/>
        <w:rPr>
          <w:rFonts w:ascii="宋体" w:hAnsi="宋体"/>
          <w:szCs w:val="21"/>
        </w:rPr>
      </w:pPr>
    </w:p>
    <w:p>
      <w:pPr>
        <w:pStyle w:val="3"/>
        <w:keepNext w:val="0"/>
        <w:keepLines w:val="0"/>
        <w:jc w:val="center"/>
        <w:rPr>
          <w:rFonts w:ascii="黑体" w:eastAsia="黑体"/>
          <w:b w:val="0"/>
          <w:sz w:val="24"/>
        </w:rPr>
      </w:pPr>
      <w:r>
        <w:rPr>
          <w:rFonts w:hint="eastAsia" w:ascii="黑体" w:eastAsia="黑体"/>
          <w:b w:val="0"/>
          <w:sz w:val="24"/>
        </w:rPr>
        <w:t>二、资格响应文件</w:t>
      </w: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pPr>
        <w:adjustRightInd w:val="0"/>
        <w:snapToGrid w:val="0"/>
        <w:spacing w:line="360" w:lineRule="auto"/>
        <w:ind w:firstLine="424" w:firstLineChars="202"/>
        <w:rPr>
          <w:rFonts w:hint="eastAsia" w:ascii="宋体" w:hAnsi="宋体" w:eastAsia="宋体"/>
          <w:szCs w:val="24"/>
          <w:lang w:val="en-US" w:eastAsia="zh-CN"/>
        </w:rPr>
      </w:pPr>
      <w:r>
        <w:rPr>
          <w:rFonts w:hint="eastAsia" w:ascii="宋体" w:hAnsi="宋体"/>
          <w:szCs w:val="24"/>
          <w:lang w:val="en-US" w:eastAsia="zh-CN"/>
        </w:rPr>
        <w:t>3、</w:t>
      </w:r>
      <w:r>
        <w:rPr>
          <w:rFonts w:hint="eastAsia" w:ascii="宋体" w:hAnsi="宋体"/>
          <w:szCs w:val="21"/>
        </w:rPr>
        <w:t>中小企业声明函、残疾人福利性单位声明函以及监狱企业声明函</w:t>
      </w:r>
    </w:p>
    <w:p>
      <w:pPr>
        <w:adjustRightInd w:val="0"/>
        <w:snapToGrid w:val="0"/>
        <w:spacing w:line="360" w:lineRule="auto"/>
        <w:ind w:firstLine="424" w:firstLineChars="202"/>
        <w:rPr>
          <w:rFonts w:ascii="宋体" w:hAnsi="宋体"/>
          <w:szCs w:val="24"/>
        </w:rPr>
      </w:pPr>
      <w:r>
        <w:rPr>
          <w:rFonts w:hint="eastAsia" w:ascii="宋体" w:hAnsi="宋体"/>
          <w:szCs w:val="24"/>
          <w:lang w:val="en-US" w:eastAsia="zh-CN"/>
        </w:rPr>
        <w:t>4</w:t>
      </w:r>
      <w:r>
        <w:rPr>
          <w:rFonts w:hint="eastAsia" w:ascii="宋体" w:hAnsi="宋体"/>
          <w:szCs w:val="24"/>
        </w:rPr>
        <w:t>、其它资格证明材料（如有，按招标公告“申请人的资格要求”提供）</w:t>
      </w:r>
    </w:p>
    <w:p>
      <w:pPr>
        <w:rPr>
          <w:szCs w:val="21"/>
          <w:u w:val="single"/>
        </w:rPr>
      </w:pPr>
    </w:p>
    <w:p>
      <w:pPr>
        <w:rPr>
          <w:rFonts w:ascii="宋体" w:hAnsi="宋体"/>
          <w:szCs w:val="21"/>
        </w:rPr>
      </w:pPr>
      <w:r>
        <w:rPr>
          <w:rFonts w:hint="eastAsia"/>
          <w:szCs w:val="21"/>
          <w:u w:val="single"/>
        </w:rPr>
        <w:t>（备注：如联合体投标，联合体各方均应按要求提供资格响应文件）</w:t>
      </w:r>
    </w:p>
    <w:p>
      <w:pPr>
        <w:spacing w:after="156" w:afterLines="50"/>
        <w:ind w:firstLine="411" w:firstLineChars="196"/>
        <w:rPr>
          <w:rFonts w:ascii="宋体" w:hAnsi="宋体"/>
          <w:szCs w:val="21"/>
        </w:rPr>
      </w:pPr>
    </w:p>
    <w:p>
      <w:pPr>
        <w:spacing w:after="156" w:afterLines="50"/>
        <w:ind w:firstLine="411" w:firstLineChars="196"/>
        <w:rPr>
          <w:rFonts w:ascii="宋体" w:hAnsi="宋体"/>
          <w:szCs w:val="21"/>
        </w:rPr>
      </w:pPr>
    </w:p>
    <w:p>
      <w:pPr>
        <w:spacing w:after="156" w:afterLines="50"/>
        <w:ind w:firstLine="411" w:firstLineChars="196"/>
        <w:rPr>
          <w:rFonts w:ascii="宋体" w:hAnsi="宋体"/>
          <w:szCs w:val="21"/>
        </w:rPr>
      </w:pPr>
    </w:p>
    <w:p>
      <w:pPr>
        <w:pStyle w:val="3"/>
        <w:keepNext w:val="0"/>
        <w:keepLines w:val="0"/>
        <w:jc w:val="center"/>
        <w:rPr>
          <w:rFonts w:ascii="黑体" w:eastAsia="黑体"/>
          <w:b w:val="0"/>
          <w:sz w:val="24"/>
        </w:rPr>
      </w:pPr>
      <w:bookmarkStart w:id="87" w:name="_GoBack"/>
      <w:bookmarkEnd w:id="87"/>
      <w:r>
        <w:rPr>
          <w:rFonts w:hint="eastAsia" w:ascii="黑体" w:eastAsia="黑体"/>
          <w:b w:val="0"/>
          <w:sz w:val="24"/>
        </w:rPr>
        <w:t>政府采购投标及履约承诺函</w:t>
      </w:r>
    </w:p>
    <w:p>
      <w:pPr>
        <w:rPr>
          <w:rFonts w:ascii="宋体" w:hAnsi="宋体"/>
          <w:szCs w:val="21"/>
        </w:rPr>
      </w:pPr>
      <w:r>
        <w:rPr>
          <w:rFonts w:hint="eastAsia" w:ascii="宋体" w:hAnsi="宋体"/>
          <w:szCs w:val="21"/>
        </w:rPr>
        <w:t>深圳市中正招标有限公司：</w:t>
      </w:r>
    </w:p>
    <w:p>
      <w:pPr>
        <w:ind w:right="-815" w:firstLine="420" w:firstLineChars="200"/>
        <w:rPr>
          <w:rFonts w:ascii="宋体" w:hAnsi="宋体"/>
          <w:szCs w:val="21"/>
        </w:rPr>
      </w:pPr>
      <w:r>
        <w:rPr>
          <w:rFonts w:hint="eastAsia" w:ascii="宋体" w:hAnsi="宋体"/>
          <w:szCs w:val="21"/>
        </w:rPr>
        <w:t>我单位承诺：</w:t>
      </w:r>
    </w:p>
    <w:p>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pPr>
        <w:ind w:firstLine="424" w:firstLineChars="202"/>
        <w:rPr>
          <w:rFonts w:ascii="宋体" w:hAnsi="宋体"/>
          <w:szCs w:val="21"/>
        </w:rPr>
      </w:pPr>
      <w:r>
        <w:rPr>
          <w:rFonts w:hint="eastAsia" w:ascii="宋体" w:hAnsi="宋体"/>
          <w:szCs w:val="21"/>
        </w:rPr>
        <w:t>（一）具有独立承担民事责任的能力；</w:t>
      </w:r>
    </w:p>
    <w:p>
      <w:pPr>
        <w:ind w:firstLine="424" w:firstLineChars="202"/>
        <w:rPr>
          <w:rFonts w:ascii="宋体" w:hAnsi="宋体"/>
          <w:szCs w:val="21"/>
        </w:rPr>
      </w:pPr>
      <w:r>
        <w:rPr>
          <w:rFonts w:hint="eastAsia" w:ascii="宋体" w:hAnsi="宋体"/>
          <w:szCs w:val="21"/>
        </w:rPr>
        <w:t>（二）具有良好的商业信誉和健全的财务会计制度；</w:t>
      </w:r>
    </w:p>
    <w:p>
      <w:pPr>
        <w:ind w:firstLine="424" w:firstLineChars="202"/>
        <w:rPr>
          <w:rFonts w:ascii="宋体" w:hAnsi="宋体"/>
          <w:szCs w:val="21"/>
        </w:rPr>
      </w:pPr>
      <w:r>
        <w:rPr>
          <w:rFonts w:hint="eastAsia" w:ascii="宋体" w:hAnsi="宋体"/>
          <w:szCs w:val="21"/>
        </w:rPr>
        <w:t>（三）具有履行合同所必需的设备和专业技术能力；</w:t>
      </w:r>
    </w:p>
    <w:p>
      <w:pPr>
        <w:ind w:firstLine="424" w:firstLineChars="202"/>
        <w:rPr>
          <w:rFonts w:ascii="宋体" w:hAnsi="宋体"/>
          <w:szCs w:val="21"/>
        </w:rPr>
      </w:pPr>
      <w:r>
        <w:rPr>
          <w:rFonts w:hint="eastAsia" w:ascii="宋体" w:hAnsi="宋体"/>
          <w:szCs w:val="21"/>
        </w:rPr>
        <w:t>（四）有依法缴纳税收和社会保障资金的良好记录；</w:t>
      </w:r>
    </w:p>
    <w:p>
      <w:pPr>
        <w:ind w:firstLine="424" w:firstLineChars="202"/>
        <w:rPr>
          <w:rFonts w:ascii="宋体" w:hAnsi="宋体"/>
          <w:szCs w:val="21"/>
        </w:rPr>
      </w:pPr>
      <w:r>
        <w:rPr>
          <w:rFonts w:hint="eastAsia" w:ascii="宋体" w:hAnsi="宋体"/>
          <w:szCs w:val="21"/>
        </w:rPr>
        <w:t>（五）参加政府采购活动前三年内，在经营活动中没有重大违法记录；</w:t>
      </w:r>
    </w:p>
    <w:p>
      <w:pPr>
        <w:ind w:firstLine="424" w:firstLineChars="202"/>
        <w:rPr>
          <w:rFonts w:ascii="宋体" w:hAnsi="宋体"/>
          <w:szCs w:val="21"/>
        </w:rPr>
      </w:pPr>
      <w:r>
        <w:rPr>
          <w:rFonts w:hint="eastAsia" w:ascii="宋体" w:hAnsi="宋体"/>
          <w:szCs w:val="21"/>
        </w:rPr>
        <w:t>（六）法律、行政法规规定的其他条件。</w:t>
      </w:r>
    </w:p>
    <w:p>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2.我单位参与本项目采购活动前三年内，在经营活动中没有重大违法记录，包括因违法经营受到刑事处罚或者责令停产停业、吊销许可证或者执照、较大数额罚款等行政处罚。</w:t>
      </w:r>
    </w:p>
    <w:p>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pPr>
        <w:ind w:firstLine="424" w:firstLineChars="202"/>
        <w:rPr>
          <w:rFonts w:ascii="宋体" w:hAnsi="宋体"/>
          <w:szCs w:val="21"/>
        </w:rPr>
      </w:pPr>
      <w:r>
        <w:rPr>
          <w:rFonts w:hint="eastAsia" w:ascii="宋体" w:hAnsi="宋体"/>
          <w:szCs w:val="21"/>
        </w:rPr>
        <w:t>4.我单位承诺不非法转包或分包。</w:t>
      </w:r>
    </w:p>
    <w:p>
      <w:pPr>
        <w:ind w:firstLine="424" w:firstLineChars="202"/>
        <w:rPr>
          <w:rFonts w:ascii="宋体" w:hAnsi="宋体"/>
          <w:szCs w:val="21"/>
        </w:rPr>
      </w:pPr>
      <w:r>
        <w:rPr>
          <w:rFonts w:hint="eastAsia" w:ascii="宋体" w:hAnsi="宋体"/>
          <w:szCs w:val="21"/>
        </w:rPr>
        <w:t>5.我单位本招标项目所提供的货物或服务未侵犯知识产权。</w:t>
      </w:r>
    </w:p>
    <w:p>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6.我单位参与该项目投标，严格遵循公平竞争的原则，不妨碍其他投标人的竞争行为，不损害采购人或者其他投标人的合法权益，与其他采购参加人不存在下列串通投标情形：</w:t>
      </w:r>
    </w:p>
    <w:p>
      <w:pPr>
        <w:ind w:firstLine="424" w:firstLineChars="202"/>
        <w:rPr>
          <w:rFonts w:ascii="宋体" w:hAnsi="宋体"/>
          <w:szCs w:val="21"/>
        </w:rPr>
      </w:pPr>
      <w:r>
        <w:rPr>
          <w:rFonts w:hint="eastAsia" w:ascii="宋体" w:hAnsi="宋体"/>
          <w:szCs w:val="21"/>
        </w:rPr>
        <w:t>（1）投标供应商之间相互约定给予未中标的供应商利益补偿；</w:t>
      </w:r>
    </w:p>
    <w:p>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pPr>
        <w:ind w:firstLine="424" w:firstLineChars="202"/>
        <w:rPr>
          <w:rFonts w:ascii="宋体" w:hAnsi="宋体"/>
          <w:szCs w:val="21"/>
        </w:rPr>
      </w:pPr>
      <w:r>
        <w:rPr>
          <w:rFonts w:hint="eastAsia" w:ascii="宋体" w:hAnsi="宋体"/>
          <w:szCs w:val="21"/>
        </w:rPr>
        <w:t>（4）不同投标供应商的投标文件或部分投标文件相互混装；</w:t>
      </w:r>
    </w:p>
    <w:p>
      <w:pPr>
        <w:ind w:firstLine="424" w:firstLineChars="202"/>
        <w:rPr>
          <w:rFonts w:ascii="宋体" w:hAnsi="宋体"/>
          <w:szCs w:val="21"/>
        </w:rPr>
      </w:pPr>
      <w:r>
        <w:rPr>
          <w:rFonts w:hint="eastAsia" w:ascii="宋体" w:hAnsi="宋体"/>
          <w:szCs w:val="21"/>
        </w:rPr>
        <w:t>（5）不同投标供应商的投标文件内容存在非正常一致；</w:t>
      </w:r>
    </w:p>
    <w:p>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pPr>
        <w:ind w:firstLine="424" w:firstLineChars="202"/>
        <w:rPr>
          <w:rFonts w:ascii="宋体" w:hAnsi="宋体"/>
          <w:szCs w:val="21"/>
        </w:rPr>
      </w:pPr>
      <w:r>
        <w:rPr>
          <w:rFonts w:hint="eastAsia" w:ascii="宋体" w:hAnsi="宋体"/>
          <w:szCs w:val="21"/>
        </w:rPr>
        <w:t>（7）主管部门依照法律、法规认定的其他情形。</w:t>
      </w:r>
    </w:p>
    <w:p>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ind w:firstLine="424" w:firstLineChars="202"/>
        <w:rPr>
          <w:rFonts w:ascii="宋体" w:hAnsi="宋体"/>
          <w:szCs w:val="21"/>
        </w:rPr>
      </w:pPr>
      <w:r>
        <w:rPr>
          <w:rFonts w:hint="eastAsia" w:ascii="宋体" w:hAnsi="宋体"/>
          <w:szCs w:val="21"/>
        </w:rPr>
        <w:t>11.我单位（公司）不存在《深圳市财政局政府采购供应商信用信息管理办法》（深财规[2023]3号）列明的严重违法失信行为。</w:t>
      </w:r>
    </w:p>
    <w:p>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pPr>
        <w:ind w:firstLine="424" w:firstLineChars="202"/>
        <w:rPr>
          <w:rFonts w:ascii="宋体" w:hAnsi="宋体"/>
          <w:szCs w:val="21"/>
        </w:rPr>
      </w:pPr>
    </w:p>
    <w:p>
      <w:pPr>
        <w:jc w:val="center"/>
      </w:pPr>
      <w:r>
        <w:rPr>
          <w:rFonts w:hint="eastAsia"/>
          <w:szCs w:val="21"/>
        </w:rPr>
        <w:t xml:space="preserve">                             投标人：</w:t>
      </w:r>
    </w:p>
    <w:p>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ind w:firstLine="424" w:firstLineChars="202"/>
        <w:rPr>
          <w:rFonts w:ascii="宋体" w:hAnsi="宋体"/>
          <w:szCs w:val="21"/>
        </w:rPr>
      </w:pPr>
    </w:p>
    <w:p/>
    <w:p>
      <w:pPr>
        <w:rPr>
          <w:rFonts w:ascii="宋体" w:hAnsi="宋体"/>
          <w:szCs w:val="21"/>
        </w:rPr>
      </w:pPr>
      <w:r>
        <w:rPr>
          <w:rFonts w:hint="eastAsia"/>
          <w:szCs w:val="21"/>
          <w:u w:val="single"/>
        </w:rPr>
        <w:t>（备注：如联合体投标，投标人一栏需填写联合体各方的名称）</w:t>
      </w:r>
    </w:p>
    <w:p/>
    <w:p>
      <w:pPr>
        <w:keepNext w:val="0"/>
        <w:keepLines w:val="0"/>
        <w:pageBreakBefore w:val="0"/>
        <w:widowControl w:val="0"/>
        <w:kinsoku/>
        <w:wordWrap/>
        <w:overflowPunct/>
        <w:topLinePunct w:val="0"/>
        <w:autoSpaceDE/>
        <w:autoSpaceDN/>
        <w:bidi w:val="0"/>
        <w:adjustRightInd/>
        <w:snapToGrid/>
        <w:spacing w:before="260" w:after="260" w:line="360" w:lineRule="auto"/>
        <w:ind w:firstLine="0" w:firstLineChars="0"/>
        <w:jc w:val="center"/>
        <w:textAlignment w:val="auto"/>
        <w:rPr>
          <w:rFonts w:hint="eastAsia" w:ascii="黑体" w:hAnsi="宋体" w:eastAsia="黑体"/>
          <w:bCs/>
          <w:kern w:val="0"/>
          <w:sz w:val="24"/>
          <w:szCs w:val="32"/>
        </w:rPr>
      </w:pPr>
      <w:r>
        <w:rPr>
          <w:rFonts w:hint="eastAsia" w:ascii="黑体" w:hAnsi="宋体" w:eastAsia="黑体"/>
          <w:bCs/>
          <w:kern w:val="0"/>
          <w:sz w:val="24"/>
          <w:szCs w:val="32"/>
        </w:rPr>
        <w:t>中小企业声明函、残疾人福利性单位声明函以及监狱企业声明函</w:t>
      </w:r>
    </w:p>
    <w:p>
      <w:pPr>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pPr>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pPr>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pPr>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5" w:name="_Hlk71925120"/>
      <w:r>
        <w:rPr>
          <w:rFonts w:hint="eastAsia" w:asciiTheme="minorEastAsia" w:hAnsiTheme="minorEastAsia" w:eastAsiaTheme="minorEastAsia"/>
          <w:kern w:val="0"/>
          <w:szCs w:val="21"/>
        </w:rPr>
        <w:t>《关于印发中小企业划型标准规定的通知》（工信部联企业〔2011〕300 号</w:t>
      </w:r>
      <w:bookmarkEnd w:id="15"/>
      <w:r>
        <w:rPr>
          <w:rFonts w:hint="eastAsia" w:asciiTheme="minorEastAsia" w:hAnsiTheme="minorEastAsia" w:eastAsiaTheme="minorEastAsia"/>
          <w:kern w:val="0"/>
          <w:szCs w:val="21"/>
        </w:rPr>
        <w:t>）</w:t>
      </w:r>
    </w:p>
    <w:p>
      <w:pPr>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pPr>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pPr>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pPr>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pPr>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pPr>
        <w:snapToGrid w:val="0"/>
        <w:spacing w:line="360" w:lineRule="auto"/>
        <w:jc w:val="left"/>
        <w:rPr>
          <w:rFonts w:ascii="Times New Roman" w:hAnsi="Times New Roman"/>
          <w:b/>
          <w:bCs/>
          <w:szCs w:val="24"/>
        </w:rPr>
      </w:pPr>
      <w:r>
        <w:rPr>
          <w:rFonts w:hint="eastAsia" w:asciiTheme="minorEastAsia" w:hAnsiTheme="minorEastAsia" w:eastAsiaTheme="minorEastAsia"/>
          <w:kern w:val="0"/>
          <w:szCs w:val="21"/>
        </w:rPr>
        <w:t xml:space="preserve">    </w:t>
      </w:r>
    </w:p>
    <w:p>
      <w:pPr>
        <w:jc w:val="center"/>
        <w:outlineLvl w:val="3"/>
        <w:rPr>
          <w:rFonts w:ascii="黑体" w:hAnsi="宋体" w:eastAsia="黑体"/>
          <w:bCs/>
          <w:kern w:val="0"/>
          <w:sz w:val="24"/>
          <w:szCs w:val="32"/>
        </w:rPr>
      </w:pPr>
    </w:p>
    <w:p>
      <w:pPr>
        <w:spacing w:after="60"/>
        <w:jc w:val="center"/>
        <w:outlineLvl w:val="3"/>
        <w:rPr>
          <w:b/>
          <w:sz w:val="24"/>
        </w:rPr>
      </w:pPr>
      <w:r>
        <w:rPr>
          <w:rFonts w:hint="eastAsia"/>
          <w:b/>
          <w:sz w:val="24"/>
        </w:rPr>
        <w:t>1、中小企业声明函</w:t>
      </w:r>
    </w:p>
    <w:p>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exact"/>
        <w:ind w:firstLine="420" w:firstLineChars="200"/>
        <w:rPr>
          <w:rFonts w:asciiTheme="minorEastAsia" w:hAnsiTheme="minorEastAsia" w:eastAsiaTheme="minorEastAsia"/>
          <w:szCs w:val="21"/>
        </w:rPr>
      </w:pPr>
    </w:p>
    <w:p>
      <w:pPr>
        <w:spacing w:line="360" w:lineRule="exact"/>
        <w:jc w:val="center"/>
        <w:rPr>
          <w:rFonts w:ascii="Times New Roman" w:hAnsi="Times New Roman"/>
          <w:szCs w:val="24"/>
        </w:rPr>
      </w:pPr>
      <w:r>
        <w:rPr>
          <w:rFonts w:hint="eastAsia" w:ascii="Times New Roman" w:hAnsi="Times New Roman"/>
          <w:szCs w:val="21"/>
        </w:rPr>
        <w:t xml:space="preserve">                           企业名称：</w:t>
      </w:r>
    </w:p>
    <w:p>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exact"/>
        <w:ind w:firstLine="420" w:firstLineChars="200"/>
        <w:rPr>
          <w:rFonts w:ascii="宋体" w:hAnsi="宋体"/>
          <w:szCs w:val="21"/>
        </w:rPr>
      </w:pPr>
      <w:r>
        <w:rPr>
          <w:rFonts w:hint="eastAsia" w:ascii="宋体" w:hAnsi="宋体"/>
          <w:szCs w:val="21"/>
        </w:rPr>
        <w:t>备注：</w:t>
      </w:r>
    </w:p>
    <w:p>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exact"/>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exact"/>
        <w:ind w:firstLine="420" w:firstLineChars="200"/>
        <w:rPr>
          <w:rFonts w:ascii="宋体" w:hAnsi="宋体"/>
          <w:szCs w:val="21"/>
        </w:rPr>
      </w:pPr>
    </w:p>
    <w:p>
      <w:pPr>
        <w:spacing w:after="60" w:line="360" w:lineRule="exact"/>
        <w:jc w:val="center"/>
        <w:outlineLvl w:val="3"/>
        <w:rPr>
          <w:b/>
          <w:sz w:val="24"/>
        </w:rPr>
      </w:pPr>
      <w:r>
        <w:rPr>
          <w:rFonts w:hint="eastAsia"/>
          <w:b/>
          <w:sz w:val="24"/>
        </w:rPr>
        <w:t>2、监狱企业声明函</w:t>
      </w:r>
    </w:p>
    <w:p>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exact"/>
        <w:jc w:val="center"/>
      </w:pPr>
      <w:r>
        <w:rPr>
          <w:rFonts w:hint="eastAsia"/>
          <w:szCs w:val="21"/>
        </w:rPr>
        <w:t xml:space="preserve">                             单位名称：</w:t>
      </w:r>
    </w:p>
    <w:p>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exact"/>
        <w:ind w:firstLine="645"/>
        <w:rPr>
          <w:rFonts w:ascii="宋体"/>
          <w:b/>
          <w:szCs w:val="21"/>
        </w:rPr>
      </w:pPr>
      <w:r>
        <w:rPr>
          <w:rFonts w:hint="eastAsia" w:ascii="宋体" w:hAnsi="宋体"/>
          <w:szCs w:val="21"/>
        </w:rPr>
        <w:t xml:space="preserve">                                    </w:t>
      </w:r>
    </w:p>
    <w:p>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ind w:left="723" w:hanging="723" w:hangingChars="300"/>
        <w:rPr>
          <w:b/>
          <w:sz w:val="24"/>
        </w:rPr>
      </w:pPr>
    </w:p>
    <w:p>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after="60" w:line="360" w:lineRule="exact"/>
        <w:ind w:firstLine="420" w:firstLineChars="200"/>
        <w:rPr>
          <w:rFonts w:ascii="宋体" w:hAnsi="宋体"/>
          <w:szCs w:val="21"/>
        </w:rPr>
      </w:pPr>
      <w:r>
        <w:rPr>
          <w:rFonts w:hint="eastAsia" w:ascii="宋体" w:hAnsi="宋体"/>
          <w:szCs w:val="21"/>
        </w:rPr>
        <w:t xml:space="preserve">                                     </w:t>
      </w:r>
    </w:p>
    <w:p>
      <w:pPr>
        <w:spacing w:after="60" w:line="360" w:lineRule="exact"/>
        <w:jc w:val="center"/>
        <w:outlineLvl w:val="3"/>
        <w:rPr>
          <w:b/>
          <w:bCs/>
        </w:rPr>
      </w:pPr>
      <w:r>
        <w:rPr>
          <w:rFonts w:hint="eastAsia"/>
          <w:b/>
          <w:sz w:val="24"/>
        </w:rPr>
        <w:t>3、残疾人福利性单位声明函</w:t>
      </w:r>
    </w:p>
    <w:p>
      <w:pPr>
        <w:spacing w:line="360" w:lineRule="exact"/>
        <w:ind w:firstLine="420" w:firstLineChars="200"/>
        <w:jc w:val="left"/>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exact"/>
        <w:jc w:val="center"/>
      </w:pPr>
      <w:r>
        <w:rPr>
          <w:rFonts w:hint="eastAsia"/>
          <w:szCs w:val="21"/>
        </w:rPr>
        <w:t xml:space="preserve">                             单位名称：</w:t>
      </w:r>
    </w:p>
    <w:p>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黑体" w:hAnsi="宋体" w:eastAsia="黑体"/>
          <w:bCs/>
          <w:kern w:val="0"/>
          <w:sz w:val="24"/>
          <w:szCs w:val="32"/>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pStyle w:val="3"/>
        <w:keepNext w:val="0"/>
        <w:keepLines w:val="0"/>
        <w:jc w:val="center"/>
        <w:rPr>
          <w:rFonts w:ascii="黑体" w:eastAsia="黑体"/>
          <w:b w:val="0"/>
          <w:sz w:val="24"/>
        </w:rPr>
      </w:pPr>
      <w:r>
        <w:rPr>
          <w:rFonts w:hint="eastAsia" w:ascii="黑体" w:eastAsia="黑体"/>
          <w:b w:val="0"/>
          <w:sz w:val="24"/>
        </w:rPr>
        <w:t>三、投标人情况介绍</w:t>
      </w:r>
    </w:p>
    <w:tbl>
      <w:tblPr>
        <w:tblStyle w:val="43"/>
        <w:tblW w:w="913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59"/>
        <w:gridCol w:w="4432"/>
        <w:gridCol w:w="14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b/>
                <w:szCs w:val="21"/>
              </w:rPr>
            </w:pPr>
            <w:r>
              <w:rPr>
                <w:rFonts w:hint="eastAsia" w:ascii="宋体" w:hAnsi="宋体"/>
                <w:b/>
                <w:szCs w:val="21"/>
              </w:rPr>
              <w:t>序号</w:t>
            </w:r>
          </w:p>
        </w:tc>
        <w:tc>
          <w:tcPr>
            <w:tcW w:w="2559" w:type="dxa"/>
          </w:tcPr>
          <w:p>
            <w:pPr>
              <w:spacing w:after="60"/>
              <w:jc w:val="center"/>
              <w:rPr>
                <w:rFonts w:ascii="宋体" w:hAnsi="宋体"/>
                <w:b/>
                <w:szCs w:val="21"/>
              </w:rPr>
            </w:pPr>
            <w:r>
              <w:rPr>
                <w:rFonts w:hint="eastAsia" w:ascii="宋体" w:hAnsi="宋体"/>
                <w:b/>
                <w:szCs w:val="21"/>
              </w:rPr>
              <w:t>项</w:t>
            </w:r>
            <w:r>
              <w:rPr>
                <w:rFonts w:ascii="宋体" w:hAnsi="宋体"/>
                <w:b/>
                <w:szCs w:val="21"/>
              </w:rPr>
              <w:t xml:space="preserve">  </w:t>
            </w:r>
            <w:r>
              <w:rPr>
                <w:rFonts w:hint="eastAsia" w:ascii="宋体" w:hAnsi="宋体"/>
                <w:b/>
                <w:szCs w:val="21"/>
              </w:rPr>
              <w:t>目</w:t>
            </w:r>
          </w:p>
        </w:tc>
        <w:tc>
          <w:tcPr>
            <w:tcW w:w="4432" w:type="dxa"/>
            <w:vAlign w:val="center"/>
          </w:tcPr>
          <w:p>
            <w:pPr>
              <w:spacing w:after="60"/>
              <w:jc w:val="center"/>
              <w:rPr>
                <w:rFonts w:ascii="宋体" w:hAnsi="宋体"/>
                <w:b/>
                <w:szCs w:val="21"/>
              </w:rPr>
            </w:pPr>
            <w:r>
              <w:rPr>
                <w:rFonts w:hint="eastAsia" w:ascii="宋体" w:hAnsi="宋体"/>
                <w:b/>
                <w:szCs w:val="21"/>
              </w:rPr>
              <w:t>内容及说明</w:t>
            </w:r>
          </w:p>
        </w:tc>
        <w:tc>
          <w:tcPr>
            <w:tcW w:w="1411" w:type="dxa"/>
            <w:vAlign w:val="center"/>
          </w:tcPr>
          <w:p>
            <w:pPr>
              <w:spacing w:after="60"/>
              <w:jc w:val="center"/>
              <w:rPr>
                <w:rFonts w:ascii="宋体" w:hAnsi="宋体"/>
                <w:b/>
                <w:szCs w:val="21"/>
              </w:rPr>
            </w:pPr>
            <w:r>
              <w:rPr>
                <w:rFonts w:hint="eastAsia" w:ascii="宋体" w:hAnsi="宋体"/>
                <w:b/>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b/>
                <w:szCs w:val="21"/>
              </w:rPr>
            </w:pPr>
            <w:r>
              <w:rPr>
                <w:rFonts w:hint="eastAsia" w:ascii="宋体" w:hAnsi="宋体"/>
                <w:b/>
                <w:szCs w:val="21"/>
              </w:rPr>
              <w:t>一</w:t>
            </w:r>
          </w:p>
        </w:tc>
        <w:tc>
          <w:tcPr>
            <w:tcW w:w="6991" w:type="dxa"/>
            <w:gridSpan w:val="2"/>
          </w:tcPr>
          <w:p>
            <w:pPr>
              <w:spacing w:after="60"/>
              <w:rPr>
                <w:rFonts w:ascii="宋体" w:hAnsi="宋体"/>
                <w:b/>
                <w:szCs w:val="21"/>
              </w:rPr>
            </w:pPr>
            <w:r>
              <w:rPr>
                <w:rFonts w:hint="eastAsia" w:ascii="宋体" w:hAnsi="宋体"/>
                <w:b/>
                <w:szCs w:val="21"/>
              </w:rPr>
              <w:t>营业执照</w:t>
            </w: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szCs w:val="21"/>
              </w:rPr>
            </w:pPr>
            <w:r>
              <w:rPr>
                <w:rFonts w:ascii="宋体" w:hAnsi="宋体"/>
                <w:szCs w:val="21"/>
              </w:rPr>
              <w:t>1</w:t>
            </w:r>
          </w:p>
        </w:tc>
        <w:tc>
          <w:tcPr>
            <w:tcW w:w="2559" w:type="dxa"/>
            <w:vAlign w:val="center"/>
          </w:tcPr>
          <w:p>
            <w:pPr>
              <w:spacing w:after="60"/>
              <w:jc w:val="center"/>
              <w:rPr>
                <w:rFonts w:ascii="宋体" w:hAnsi="宋体"/>
                <w:szCs w:val="21"/>
              </w:rPr>
            </w:pPr>
            <w:r>
              <w:rPr>
                <w:rFonts w:hint="eastAsia" w:ascii="宋体" w:hAnsi="宋体"/>
                <w:szCs w:val="21"/>
              </w:rPr>
              <w:t>注册年度及注册编号</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szCs w:val="21"/>
              </w:rPr>
            </w:pPr>
            <w:r>
              <w:rPr>
                <w:rFonts w:ascii="宋体" w:hAnsi="宋体"/>
                <w:szCs w:val="21"/>
              </w:rPr>
              <w:t>2</w:t>
            </w:r>
          </w:p>
        </w:tc>
        <w:tc>
          <w:tcPr>
            <w:tcW w:w="2559" w:type="dxa"/>
            <w:vAlign w:val="center"/>
          </w:tcPr>
          <w:p>
            <w:pPr>
              <w:spacing w:after="60"/>
              <w:jc w:val="center"/>
              <w:rPr>
                <w:rFonts w:ascii="宋体" w:hAnsi="宋体"/>
                <w:szCs w:val="21"/>
              </w:rPr>
            </w:pPr>
            <w:r>
              <w:rPr>
                <w:rFonts w:hint="eastAsia" w:ascii="宋体" w:hAnsi="宋体"/>
                <w:szCs w:val="21"/>
              </w:rPr>
              <w:t>注册资金（万元）</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szCs w:val="21"/>
              </w:rPr>
            </w:pPr>
            <w:r>
              <w:rPr>
                <w:rFonts w:hint="eastAsia" w:ascii="宋体" w:hAnsi="宋体"/>
                <w:szCs w:val="21"/>
              </w:rPr>
              <w:t>3</w:t>
            </w:r>
          </w:p>
        </w:tc>
        <w:tc>
          <w:tcPr>
            <w:tcW w:w="2559" w:type="dxa"/>
            <w:vAlign w:val="center"/>
          </w:tcPr>
          <w:p>
            <w:pPr>
              <w:spacing w:after="60"/>
              <w:jc w:val="center"/>
              <w:rPr>
                <w:rFonts w:ascii="宋体" w:hAnsi="宋体"/>
                <w:szCs w:val="21"/>
              </w:rPr>
            </w:pPr>
            <w:r>
              <w:rPr>
                <w:rFonts w:hint="eastAsia" w:ascii="宋体" w:hAnsi="宋体"/>
                <w:szCs w:val="21"/>
              </w:rPr>
              <w:t>法定代表人</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szCs w:val="21"/>
              </w:rPr>
            </w:pPr>
            <w:r>
              <w:rPr>
                <w:rFonts w:hint="eastAsia" w:ascii="宋体" w:hAnsi="宋体"/>
                <w:szCs w:val="21"/>
              </w:rPr>
              <w:t>4</w:t>
            </w:r>
          </w:p>
        </w:tc>
        <w:tc>
          <w:tcPr>
            <w:tcW w:w="2559" w:type="dxa"/>
            <w:vAlign w:val="center"/>
          </w:tcPr>
          <w:p>
            <w:pPr>
              <w:spacing w:after="60"/>
              <w:jc w:val="center"/>
              <w:rPr>
                <w:rFonts w:ascii="宋体" w:hAnsi="宋体"/>
                <w:szCs w:val="21"/>
              </w:rPr>
            </w:pPr>
            <w:r>
              <w:rPr>
                <w:rFonts w:hint="eastAsia" w:ascii="宋体" w:hAnsi="宋体"/>
                <w:szCs w:val="21"/>
              </w:rPr>
              <w:t>住所地</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szCs w:val="21"/>
              </w:rPr>
            </w:pPr>
            <w:r>
              <w:rPr>
                <w:rFonts w:hint="eastAsia" w:ascii="宋体" w:hAnsi="宋体"/>
                <w:szCs w:val="21"/>
              </w:rPr>
              <w:t>5</w:t>
            </w:r>
          </w:p>
        </w:tc>
        <w:tc>
          <w:tcPr>
            <w:tcW w:w="2559" w:type="dxa"/>
            <w:vAlign w:val="center"/>
          </w:tcPr>
          <w:p>
            <w:pPr>
              <w:spacing w:after="60"/>
              <w:jc w:val="center"/>
              <w:rPr>
                <w:rFonts w:ascii="宋体" w:hAnsi="宋体"/>
                <w:szCs w:val="21"/>
              </w:rPr>
            </w:pPr>
            <w:r>
              <w:rPr>
                <w:rFonts w:hint="eastAsia" w:ascii="宋体" w:hAnsi="宋体"/>
                <w:szCs w:val="21"/>
              </w:rPr>
              <w:t>经营范围</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szCs w:val="21"/>
              </w:rPr>
            </w:pPr>
            <w:r>
              <w:rPr>
                <w:rFonts w:hint="eastAsia" w:ascii="宋体" w:hAnsi="宋体"/>
                <w:szCs w:val="21"/>
              </w:rPr>
              <w:t>6</w:t>
            </w:r>
          </w:p>
        </w:tc>
        <w:tc>
          <w:tcPr>
            <w:tcW w:w="2559" w:type="dxa"/>
            <w:vAlign w:val="center"/>
          </w:tcPr>
          <w:p>
            <w:pPr>
              <w:spacing w:after="60"/>
              <w:jc w:val="center"/>
              <w:rPr>
                <w:rFonts w:ascii="宋体" w:hAnsi="宋体"/>
                <w:szCs w:val="21"/>
              </w:rPr>
            </w:pPr>
            <w:r>
              <w:rPr>
                <w:rFonts w:hint="eastAsia" w:ascii="宋体" w:hAnsi="宋体"/>
                <w:szCs w:val="21"/>
              </w:rPr>
              <w:t>开户银行及账号</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szCs w:val="21"/>
              </w:rPr>
            </w:pPr>
            <w:r>
              <w:rPr>
                <w:rFonts w:hint="eastAsia" w:ascii="宋体" w:hAnsi="宋体"/>
                <w:szCs w:val="21"/>
              </w:rPr>
              <w:t>7</w:t>
            </w:r>
          </w:p>
        </w:tc>
        <w:tc>
          <w:tcPr>
            <w:tcW w:w="2559" w:type="dxa"/>
            <w:vAlign w:val="center"/>
          </w:tcPr>
          <w:p>
            <w:pPr>
              <w:spacing w:after="60"/>
              <w:jc w:val="center"/>
              <w:rPr>
                <w:rFonts w:ascii="宋体" w:hAnsi="宋体"/>
                <w:szCs w:val="21"/>
              </w:rPr>
            </w:pPr>
            <w:r>
              <w:rPr>
                <w:rFonts w:hint="eastAsia" w:ascii="宋体" w:hAnsi="宋体"/>
                <w:szCs w:val="21"/>
              </w:rPr>
              <w:t>联系方式</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pPr>
              <w:spacing w:after="60"/>
              <w:jc w:val="center"/>
              <w:rPr>
                <w:rFonts w:ascii="宋体" w:hAnsi="宋体"/>
                <w:b/>
                <w:szCs w:val="21"/>
              </w:rPr>
            </w:pPr>
            <w:r>
              <w:rPr>
                <w:rFonts w:hint="eastAsia" w:ascii="宋体" w:hAnsi="宋体"/>
                <w:b/>
                <w:szCs w:val="21"/>
              </w:rPr>
              <w:t>二</w:t>
            </w:r>
          </w:p>
        </w:tc>
        <w:tc>
          <w:tcPr>
            <w:tcW w:w="2559" w:type="dxa"/>
            <w:vAlign w:val="center"/>
          </w:tcPr>
          <w:p>
            <w:pPr>
              <w:spacing w:after="60"/>
              <w:jc w:val="left"/>
              <w:rPr>
                <w:rFonts w:ascii="宋体" w:hAnsi="宋体"/>
                <w:b/>
                <w:szCs w:val="21"/>
              </w:rPr>
            </w:pPr>
            <w:r>
              <w:rPr>
                <w:rFonts w:hint="eastAsia" w:ascii="宋体" w:hAnsi="宋体"/>
                <w:b/>
                <w:szCs w:val="21"/>
              </w:rPr>
              <w:t>其他材料</w:t>
            </w:r>
          </w:p>
        </w:tc>
        <w:tc>
          <w:tcPr>
            <w:tcW w:w="4432" w:type="dxa"/>
            <w:vAlign w:val="center"/>
          </w:tcPr>
          <w:p>
            <w:pPr>
              <w:spacing w:after="60"/>
              <w:rPr>
                <w:rFonts w:ascii="宋体" w:hAnsi="宋体"/>
                <w:szCs w:val="21"/>
              </w:rPr>
            </w:pPr>
          </w:p>
        </w:tc>
        <w:tc>
          <w:tcPr>
            <w:tcW w:w="1411" w:type="dxa"/>
            <w:vAlign w:val="center"/>
          </w:tcPr>
          <w:p>
            <w:pPr>
              <w:spacing w:after="60"/>
              <w:jc w:val="center"/>
              <w:rPr>
                <w:rFonts w:ascii="宋体" w:hAnsi="宋体"/>
                <w:szCs w:val="21"/>
              </w:rPr>
            </w:pPr>
          </w:p>
        </w:tc>
      </w:tr>
    </w:tbl>
    <w:p>
      <w:pPr>
        <w:spacing w:line="360" w:lineRule="exact"/>
        <w:rPr>
          <w:bCs/>
          <w:szCs w:val="21"/>
        </w:rPr>
      </w:pPr>
      <w:r>
        <w:rPr>
          <w:rFonts w:hint="eastAsia"/>
          <w:bCs/>
          <w:szCs w:val="21"/>
        </w:rPr>
        <w:t>注：供应商应填写上述表格内容，并可根据自身情况自行对表格内容进行补充和完善。</w:t>
      </w:r>
    </w:p>
    <w:p>
      <w:pPr>
        <w:ind w:left="632" w:hanging="632" w:hangingChars="300"/>
        <w:rPr>
          <w:b/>
          <w:bCs/>
        </w:rPr>
      </w:pPr>
    </w:p>
    <w:p>
      <w:pPr>
        <w:rPr>
          <w:rFonts w:ascii="宋体" w:hAnsi="宋体"/>
          <w:szCs w:val="21"/>
        </w:rPr>
      </w:pPr>
      <w:r>
        <w:rPr>
          <w:rFonts w:hint="eastAsia"/>
          <w:szCs w:val="21"/>
          <w:u w:val="single"/>
        </w:rPr>
        <w:t>（备注：如联合体投标，联合体各方均需提供情况介绍）</w:t>
      </w:r>
    </w:p>
    <w:p>
      <w:pPr>
        <w:ind w:left="632" w:hanging="632" w:hangingChars="300"/>
        <w:rPr>
          <w:b/>
          <w:bCs/>
        </w:rPr>
      </w:pPr>
    </w:p>
    <w:p>
      <w:pPr>
        <w:ind w:left="632" w:hanging="632" w:hangingChars="300"/>
        <w:rPr>
          <w:b/>
          <w:bCs/>
        </w:rPr>
      </w:pPr>
    </w:p>
    <w:p>
      <w:pPr>
        <w:jc w:val="center"/>
        <w:outlineLvl w:val="3"/>
        <w:rPr>
          <w:rFonts w:ascii="黑体" w:hAnsi="宋体" w:eastAsia="黑体"/>
          <w:bCs/>
          <w:kern w:val="0"/>
          <w:sz w:val="24"/>
          <w:szCs w:val="32"/>
        </w:rPr>
      </w:pPr>
      <w:r>
        <w:rPr>
          <w:rFonts w:hint="eastAsia" w:ascii="黑体" w:hAnsi="宋体" w:eastAsia="黑体"/>
          <w:bCs/>
          <w:kern w:val="0"/>
          <w:sz w:val="24"/>
          <w:szCs w:val="32"/>
        </w:rPr>
        <w:t>四、符合政府采购扶持政策的证明材料</w:t>
      </w:r>
    </w:p>
    <w:p>
      <w:pPr>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3"/>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pPr>
              <w:jc w:val="center"/>
              <w:rPr>
                <w:rFonts w:ascii="Times New Roman" w:hAnsi="Times New Roman"/>
                <w:b/>
                <w:szCs w:val="21"/>
              </w:rPr>
            </w:pPr>
            <w:r>
              <w:rPr>
                <w:rFonts w:hint="eastAsia" w:ascii="Times New Roman" w:hAnsi="Times New Roman"/>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rPr>
                <w:rFonts w:ascii="Times New Roman" w:hAnsi="Times New Roman"/>
                <w:szCs w:val="21"/>
              </w:rPr>
            </w:pPr>
          </w:p>
        </w:tc>
        <w:tc>
          <w:tcPr>
            <w:tcW w:w="1213" w:type="dxa"/>
            <w:vMerge w:val="continue"/>
            <w:vAlign w:val="center"/>
          </w:tcPr>
          <w:p>
            <w:pPr>
              <w:rPr>
                <w:rFonts w:ascii="Times New Roman" w:hAnsi="Times New Roman"/>
                <w:szCs w:val="21"/>
              </w:rPr>
            </w:pPr>
          </w:p>
        </w:tc>
        <w:tc>
          <w:tcPr>
            <w:tcW w:w="1840" w:type="dxa"/>
            <w:vMerge w:val="continue"/>
            <w:vAlign w:val="center"/>
          </w:tcPr>
          <w:p>
            <w:pPr>
              <w:rPr>
                <w:rFonts w:ascii="Times New Roman" w:hAnsi="Times New Roman"/>
                <w:szCs w:val="21"/>
              </w:rPr>
            </w:pPr>
          </w:p>
        </w:tc>
        <w:tc>
          <w:tcPr>
            <w:tcW w:w="818" w:type="dxa"/>
            <w:vAlign w:val="center"/>
          </w:tcPr>
          <w:p>
            <w:pPr>
              <w:rPr>
                <w:rFonts w:ascii="Times New Roman" w:hAnsi="Times New Roman"/>
                <w:szCs w:val="21"/>
              </w:rPr>
            </w:pPr>
            <w:r>
              <w:rPr>
                <w:rFonts w:hint="eastAsia" w:ascii="Times New Roman" w:hAnsi="Times New Roman"/>
                <w:szCs w:val="21"/>
              </w:rPr>
              <w:t>数量</w:t>
            </w:r>
          </w:p>
        </w:tc>
        <w:tc>
          <w:tcPr>
            <w:tcW w:w="1241" w:type="dxa"/>
            <w:vAlign w:val="center"/>
          </w:tcPr>
          <w:p>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pPr>
              <w:rPr>
                <w:rFonts w:ascii="Times New Roman" w:hAnsi="Times New Roman"/>
                <w:szCs w:val="21"/>
              </w:rPr>
            </w:pPr>
          </w:p>
        </w:tc>
        <w:tc>
          <w:tcPr>
            <w:tcW w:w="720" w:type="dxa"/>
            <w:vMerge w:val="continue"/>
            <w:vAlign w:val="center"/>
          </w:tcPr>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1</w:t>
            </w:r>
          </w:p>
        </w:tc>
        <w:tc>
          <w:tcPr>
            <w:tcW w:w="1213" w:type="dxa"/>
            <w:vAlign w:val="center"/>
          </w:tcPr>
          <w:p>
            <w:pPr>
              <w:jc w:val="center"/>
              <w:rPr>
                <w:rFonts w:ascii="Times New Roman" w:hAnsi="Times New Roman"/>
                <w:szCs w:val="21"/>
              </w:rPr>
            </w:pPr>
          </w:p>
        </w:tc>
        <w:tc>
          <w:tcPr>
            <w:tcW w:w="1840" w:type="dxa"/>
            <w:vAlign w:val="center"/>
          </w:tcPr>
          <w:p>
            <w:pPr>
              <w:jc w:val="center"/>
              <w:rPr>
                <w:rFonts w:ascii="Times New Roman" w:hAnsi="Times New Roman"/>
                <w:szCs w:val="21"/>
              </w:rPr>
            </w:pPr>
          </w:p>
        </w:tc>
        <w:tc>
          <w:tcPr>
            <w:tcW w:w="818" w:type="dxa"/>
            <w:vAlign w:val="center"/>
          </w:tcPr>
          <w:p>
            <w:pPr>
              <w:jc w:val="center"/>
              <w:rPr>
                <w:rFonts w:ascii="Times New Roman" w:hAnsi="Times New Roman"/>
                <w:szCs w:val="21"/>
              </w:rPr>
            </w:pPr>
          </w:p>
        </w:tc>
        <w:tc>
          <w:tcPr>
            <w:tcW w:w="1241" w:type="dxa"/>
            <w:vAlign w:val="center"/>
          </w:tcPr>
          <w:p>
            <w:pPr>
              <w:jc w:val="center"/>
              <w:rPr>
                <w:rFonts w:ascii="Times New Roman" w:hAnsi="Times New Roman"/>
                <w:szCs w:val="21"/>
              </w:rPr>
            </w:pPr>
          </w:p>
        </w:tc>
        <w:tc>
          <w:tcPr>
            <w:tcW w:w="2292" w:type="dxa"/>
            <w:vAlign w:val="center"/>
          </w:tcPr>
          <w:p>
            <w:pPr>
              <w:jc w:val="center"/>
              <w:rPr>
                <w:rFonts w:ascii="Times New Roman" w:hAnsi="Times New Roman"/>
                <w:szCs w:val="21"/>
              </w:rPr>
            </w:pPr>
          </w:p>
        </w:tc>
        <w:tc>
          <w:tcPr>
            <w:tcW w:w="1503" w:type="dxa"/>
            <w:vAlign w:val="center"/>
          </w:tcPr>
          <w:p>
            <w:pPr>
              <w:jc w:val="center"/>
              <w:rPr>
                <w:rFonts w:ascii="Times New Roman" w:hAnsi="Times New Roman"/>
                <w:szCs w:val="21"/>
              </w:rPr>
            </w:pPr>
          </w:p>
        </w:tc>
        <w:tc>
          <w:tcPr>
            <w:tcW w:w="720" w:type="dxa"/>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2</w:t>
            </w:r>
          </w:p>
        </w:tc>
        <w:tc>
          <w:tcPr>
            <w:tcW w:w="1213" w:type="dxa"/>
            <w:vAlign w:val="center"/>
          </w:tcPr>
          <w:p>
            <w:pPr>
              <w:jc w:val="center"/>
              <w:rPr>
                <w:rFonts w:ascii="Times New Roman" w:hAnsi="Times New Roman"/>
                <w:szCs w:val="21"/>
              </w:rPr>
            </w:pPr>
          </w:p>
        </w:tc>
        <w:tc>
          <w:tcPr>
            <w:tcW w:w="1840" w:type="dxa"/>
            <w:vAlign w:val="center"/>
          </w:tcPr>
          <w:p>
            <w:pPr>
              <w:jc w:val="center"/>
              <w:rPr>
                <w:rFonts w:ascii="Times New Roman" w:hAnsi="Times New Roman"/>
                <w:szCs w:val="21"/>
              </w:rPr>
            </w:pPr>
          </w:p>
        </w:tc>
        <w:tc>
          <w:tcPr>
            <w:tcW w:w="818" w:type="dxa"/>
            <w:vAlign w:val="center"/>
          </w:tcPr>
          <w:p>
            <w:pPr>
              <w:jc w:val="center"/>
              <w:rPr>
                <w:rFonts w:ascii="Times New Roman" w:hAnsi="Times New Roman"/>
                <w:szCs w:val="21"/>
              </w:rPr>
            </w:pPr>
          </w:p>
        </w:tc>
        <w:tc>
          <w:tcPr>
            <w:tcW w:w="1241" w:type="dxa"/>
            <w:vAlign w:val="center"/>
          </w:tcPr>
          <w:p>
            <w:pPr>
              <w:jc w:val="center"/>
              <w:rPr>
                <w:rFonts w:ascii="Times New Roman" w:hAnsi="Times New Roman"/>
                <w:szCs w:val="21"/>
              </w:rPr>
            </w:pPr>
          </w:p>
        </w:tc>
        <w:tc>
          <w:tcPr>
            <w:tcW w:w="2292" w:type="dxa"/>
            <w:vAlign w:val="center"/>
          </w:tcPr>
          <w:p>
            <w:pPr>
              <w:jc w:val="center"/>
              <w:rPr>
                <w:rFonts w:ascii="Times New Roman" w:hAnsi="Times New Roman"/>
                <w:szCs w:val="21"/>
              </w:rPr>
            </w:pPr>
          </w:p>
        </w:tc>
        <w:tc>
          <w:tcPr>
            <w:tcW w:w="1503" w:type="dxa"/>
            <w:vAlign w:val="center"/>
          </w:tcPr>
          <w:p>
            <w:pPr>
              <w:jc w:val="center"/>
              <w:rPr>
                <w:rFonts w:ascii="Times New Roman" w:hAnsi="Times New Roman"/>
                <w:szCs w:val="21"/>
              </w:rPr>
            </w:pPr>
          </w:p>
        </w:tc>
        <w:tc>
          <w:tcPr>
            <w:tcW w:w="720" w:type="dxa"/>
            <w:vAlign w:val="center"/>
          </w:tcPr>
          <w:p>
            <w:pPr>
              <w:jc w:val="center"/>
              <w:rPr>
                <w:rFonts w:ascii="Times New Roman" w:hAnsi="Times New Roman"/>
                <w:szCs w:val="21"/>
              </w:rPr>
            </w:pPr>
          </w:p>
        </w:tc>
      </w:tr>
    </w:tbl>
    <w:p>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pPr>
        <w:spacing w:line="360" w:lineRule="exact"/>
        <w:ind w:firstLine="424" w:firstLineChars="202"/>
      </w:pPr>
      <w:r>
        <w:br w:type="page"/>
      </w:r>
    </w:p>
    <w:p>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pPr>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五、政府采购违法行为风险知悉确认书</w:t>
      </w:r>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w:t>
      </w:r>
      <w:r>
        <w:rPr>
          <w:rFonts w:hint="eastAsia" w:ascii="宋体" w:hAnsi="宋体"/>
          <w:szCs w:val="21"/>
          <w:u w:val="none"/>
        </w:rPr>
        <w:t>下罚款；情节严重的，取消参与</w:t>
      </w:r>
      <w:r>
        <w:rPr>
          <w:rFonts w:hint="eastAsia" w:ascii="宋体" w:hAnsi="宋体"/>
          <w:szCs w:val="21"/>
        </w:rPr>
        <w:t>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Theme="minorEastAsia" w:cstheme="minorBidi"/>
          <w:szCs w:val="21"/>
          <w:u w:val="single"/>
          <w:lang w:val="en-US" w:eastAsia="zh-CN"/>
        </w:rPr>
      </w:pPr>
      <w:r>
        <w:rPr>
          <w:rFonts w:hint="eastAsia" w:ascii="宋体" w:hAnsi="宋体" w:eastAsiaTheme="minorEastAsia" w:cstheme="minorBidi"/>
          <w:szCs w:val="21"/>
          <w:u w:val="single"/>
        </w:rPr>
        <w:t xml:space="preserve">                              </w:t>
      </w:r>
      <w:r>
        <w:rPr>
          <w:rFonts w:hint="eastAsia" w:ascii="宋体" w:hAnsi="宋体" w:eastAsiaTheme="minorEastAsia" w:cstheme="minorBidi"/>
          <w:szCs w:val="21"/>
          <w:u w:val="single"/>
          <w:lang w:val="en-US" w:eastAsia="zh-CN"/>
        </w:rPr>
        <w:t xml:space="preserve">       </w:t>
      </w:r>
      <w:r>
        <w:rPr>
          <w:rFonts w:hint="eastAsia" w:ascii="宋体" w:hAnsi="宋体" w:eastAsiaTheme="minorEastAsia" w:cstheme="minorBidi"/>
          <w:szCs w:val="21"/>
          <w:u w:val="single"/>
        </w:rPr>
        <w:t xml:space="preserve">                                     </w:t>
      </w:r>
      <w:r>
        <w:rPr>
          <w:rFonts w:hint="eastAsia" w:ascii="宋体" w:hAnsi="宋体" w:eastAsiaTheme="minorEastAsia" w:cstheme="minorBidi"/>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Theme="minorEastAsia" w:cstheme="minorBidi"/>
          <w:szCs w:val="21"/>
          <w:u w:val="single"/>
          <w:lang w:val="en-US" w:eastAsia="zh-CN"/>
        </w:rPr>
      </w:pPr>
      <w:r>
        <w:rPr>
          <w:rFonts w:hint="eastAsia" w:ascii="宋体" w:hAnsi="宋体" w:eastAsiaTheme="minorEastAsia" w:cstheme="minorBidi"/>
          <w:szCs w:val="21"/>
          <w:u w:val="single"/>
        </w:rPr>
        <w:t xml:space="preserve">                                                                        </w:t>
      </w:r>
      <w:r>
        <w:rPr>
          <w:rFonts w:hint="eastAsia" w:ascii="宋体" w:hAnsi="宋体" w:eastAsiaTheme="minorEastAsia" w:cstheme="minorBidi"/>
          <w:szCs w:val="21"/>
          <w:u w:val="single"/>
          <w:lang w:val="en-US" w:eastAsia="zh-CN"/>
        </w:rPr>
        <w:t xml:space="preserve">             .</w:t>
      </w:r>
      <w:r>
        <w:rPr>
          <w:rFonts w:hint="eastAsia" w:ascii="宋体" w:hAnsi="宋体" w:eastAsiaTheme="minorEastAsia" w:cstheme="minorBidi"/>
          <w:szCs w:val="21"/>
          <w:u w:val="single"/>
        </w:rPr>
        <w:t xml:space="preserve">       </w:t>
      </w:r>
      <w:r>
        <w:rPr>
          <w:rFonts w:hint="eastAsia" w:ascii="宋体" w:hAnsi="宋体" w:eastAsiaTheme="minorEastAsia" w:cstheme="minorBidi"/>
          <w:szCs w:val="21"/>
          <w:u w:val="single"/>
          <w:lang w:val="en-US" w:eastAsia="zh-CN"/>
        </w:rPr>
        <w:t xml:space="preserve"> </w:t>
      </w:r>
      <w:r>
        <w:rPr>
          <w:rFonts w:hint="eastAsia" w:ascii="宋体" w:hAnsi="宋体" w:eastAsiaTheme="minorEastAsia" w:cstheme="minorBidi"/>
          <w:szCs w:val="21"/>
          <w:u w:val="single"/>
        </w:rPr>
        <w:t xml:space="preserve">     </w:t>
      </w:r>
      <w:r>
        <w:rPr>
          <w:rFonts w:hint="eastAsia" w:ascii="宋体" w:hAnsi="宋体" w:eastAsiaTheme="minorEastAsia" w:cstheme="minorBidi"/>
          <w:szCs w:val="21"/>
          <w:u w:val="single"/>
          <w:lang w:val="en-US" w:eastAsia="zh-CN"/>
        </w:rPr>
        <w:t xml:space="preserve">                                                                        .                   </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spacing w:line="360" w:lineRule="auto"/>
        <w:ind w:firstLine="420" w:firstLineChars="200"/>
        <w:rPr>
          <w:rFonts w:ascii="宋体" w:hAnsi="宋体"/>
          <w:szCs w:val="21"/>
        </w:rPr>
      </w:pPr>
    </w:p>
    <w:p>
      <w:pPr>
        <w:rPr>
          <w:rFonts w:ascii="宋体" w:hAnsi="宋体"/>
          <w:szCs w:val="21"/>
        </w:rPr>
      </w:pPr>
      <w:r>
        <w:rPr>
          <w:rFonts w:hint="eastAsia"/>
          <w:szCs w:val="21"/>
          <w:u w:val="single"/>
        </w:rPr>
        <w:t>（备注：如联合体投标，知悉人处仅需加盖牵头人的公章）</w:t>
      </w:r>
    </w:p>
    <w:p>
      <w:pPr>
        <w:rPr>
          <w:rFonts w:ascii="仿宋_GB2312" w:eastAsia="仿宋_GB2312"/>
          <w:b/>
          <w:sz w:val="30"/>
          <w:szCs w:val="30"/>
        </w:rPr>
      </w:pPr>
    </w:p>
    <w:p>
      <w:pPr>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六、法定代表人（负责人）资格证明书</w:t>
      </w:r>
    </w:p>
    <w:p>
      <w:pPr>
        <w:rPr>
          <w:rFonts w:ascii="Times New Roman" w:hAnsi="Times New Roman"/>
          <w:sz w:val="24"/>
          <w:szCs w:val="24"/>
        </w:rPr>
      </w:pPr>
    </w:p>
    <w:p>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pPr>
        <w:rPr>
          <w:rFonts w:ascii="Times New Roman" w:hAnsi="Times New Roman"/>
          <w:szCs w:val="21"/>
        </w:rPr>
      </w:pPr>
      <w:r>
        <w:rPr>
          <w:rFonts w:hint="eastAsia" w:ascii="Times New Roman" w:hAnsi="Times New Roman"/>
          <w:szCs w:val="21"/>
        </w:rPr>
        <w:t xml:space="preserve">      2、内容必须填写真实、清楚，涂改无效，不得转让、买卖。</w:t>
      </w:r>
    </w:p>
    <w:p>
      <w:pPr>
        <w:spacing w:line="360" w:lineRule="auto"/>
        <w:rPr>
          <w:rFonts w:ascii="Times New Roman" w:hAnsi="Times New Roman"/>
          <w:b/>
          <w:szCs w:val="21"/>
        </w:rPr>
      </w:pPr>
    </w:p>
    <w:p>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p>
    <w:p>
      <w:pPr>
        <w:spacing w:line="360" w:lineRule="auto"/>
        <w:rPr>
          <w:rFonts w:ascii="Times New Roman" w:hAnsi="Times New Roman"/>
          <w:b/>
          <w:sz w:val="24"/>
          <w:szCs w:val="24"/>
        </w:rPr>
      </w:pPr>
    </w:p>
    <w:p>
      <w:pPr>
        <w:rPr>
          <w:rFonts w:ascii="宋体" w:hAnsi="宋体"/>
          <w:szCs w:val="21"/>
        </w:rPr>
      </w:pPr>
      <w:r>
        <w:rPr>
          <w:rFonts w:hint="eastAsia"/>
          <w:szCs w:val="21"/>
          <w:u w:val="single"/>
        </w:rPr>
        <w:t>（备注：如联合体投标，单位一栏仅需填写牵头人的名称）</w:t>
      </w:r>
    </w:p>
    <w:p>
      <w:pPr>
        <w:spacing w:line="360" w:lineRule="auto"/>
        <w:rPr>
          <w:rFonts w:ascii="Times New Roman" w:hAnsi="Times New Roman"/>
          <w:b/>
          <w:sz w:val="24"/>
          <w:szCs w:val="24"/>
        </w:rPr>
      </w:pPr>
    </w:p>
    <w:p>
      <w:pPr>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rPr>
        <w:t>七、投标文件签署授权委托书</w:t>
      </w:r>
    </w:p>
    <w:p>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pPr>
        <w:spacing w:line="360" w:lineRule="auto"/>
        <w:ind w:firstLine="420"/>
        <w:rPr>
          <w:rFonts w:ascii="Times New Roman" w:hAnsi="Times New Roman"/>
          <w:szCs w:val="21"/>
        </w:rPr>
      </w:pPr>
    </w:p>
    <w:p>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pPr>
        <w:spacing w:line="360" w:lineRule="auto"/>
        <w:ind w:left="540" w:leftChars="257"/>
        <w:rPr>
          <w:rFonts w:ascii="Times New Roman" w:hAnsi="Times New Roman"/>
          <w:szCs w:val="21"/>
          <w:u w:val="single"/>
        </w:rPr>
      </w:pPr>
    </w:p>
    <w:p>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p>
    <w:p>
      <w:pPr>
        <w:rPr>
          <w:szCs w:val="21"/>
          <w:u w:val="single"/>
        </w:rPr>
      </w:pPr>
    </w:p>
    <w:p>
      <w:pPr>
        <w:rPr>
          <w:rFonts w:ascii="宋体" w:hAnsi="宋体"/>
          <w:szCs w:val="21"/>
        </w:rPr>
      </w:pPr>
      <w:r>
        <w:rPr>
          <w:rFonts w:hint="eastAsia"/>
          <w:szCs w:val="21"/>
          <w:u w:val="single"/>
        </w:rPr>
        <w:t>（备注：如联合体投标，投标供应商名称一栏仅需填写牵头人的名称）</w:t>
      </w:r>
    </w:p>
    <w:p>
      <w:pPr>
        <w:spacing w:line="360" w:lineRule="auto"/>
        <w:rPr>
          <w:rFonts w:ascii="黑体" w:eastAsia="黑体"/>
          <w:b/>
          <w:sz w:val="24"/>
        </w:rPr>
      </w:pPr>
    </w:p>
    <w:p>
      <w:pPr>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八、实质性条款响应情况表</w:t>
      </w:r>
    </w:p>
    <w:tbl>
      <w:tblPr>
        <w:tblStyle w:val="43"/>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163"/>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adjustRightInd w:val="0"/>
              <w:snapToGrid w:val="0"/>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7163" w:type="dxa"/>
          </w:tcPr>
          <w:p>
            <w:pPr>
              <w:adjustRightInd w:val="0"/>
              <w:snapToGrid w:val="0"/>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采购人要求内容</w:t>
            </w:r>
          </w:p>
        </w:tc>
        <w:tc>
          <w:tcPr>
            <w:tcW w:w="1312" w:type="dxa"/>
          </w:tcPr>
          <w:p>
            <w:pPr>
              <w:adjustRightInd w:val="0"/>
              <w:snapToGrid w:val="0"/>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投标人响应情况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tabs>
                <w:tab w:val="left" w:pos="765"/>
              </w:tabs>
              <w:spacing w:line="376" w:lineRule="auto"/>
              <w:outlineLvl w:val="3"/>
              <w:rPr>
                <w:rFonts w:hint="eastAsia" w:ascii="宋体" w:hAnsi="宋体" w:eastAsia="宋体" w:cs="宋体"/>
                <w:bCs/>
                <w:kern w:val="0"/>
                <w:sz w:val="21"/>
                <w:szCs w:val="21"/>
              </w:rPr>
            </w:pPr>
            <w:r>
              <w:rPr>
                <w:rFonts w:hint="eastAsia" w:ascii="宋体" w:hAnsi="宋体" w:eastAsia="宋体" w:cs="宋体"/>
                <w:bCs/>
                <w:kern w:val="0"/>
                <w:sz w:val="21"/>
                <w:szCs w:val="21"/>
              </w:rPr>
              <w:t>1</w:t>
            </w:r>
          </w:p>
        </w:tc>
        <w:tc>
          <w:tcPr>
            <w:tcW w:w="7163" w:type="dxa"/>
            <w:vAlign w:val="center"/>
          </w:tcPr>
          <w:p>
            <w:pPr>
              <w:pStyle w:val="16"/>
              <w:spacing w:line="360" w:lineRule="auto"/>
              <w:rPr>
                <w:rFonts w:hint="eastAsia" w:ascii="宋体" w:hAnsi="宋体" w:eastAsia="宋体" w:cs="宋体"/>
                <w:bCs/>
                <w:sz w:val="21"/>
                <w:szCs w:val="21"/>
              </w:rPr>
            </w:pPr>
            <w:r>
              <w:rPr>
                <w:rFonts w:hint="eastAsia" w:ascii="宋体" w:hAnsi="宋体" w:eastAsia="宋体" w:cs="宋体"/>
                <w:sz w:val="21"/>
                <w:szCs w:val="21"/>
              </w:rPr>
              <w:t>备品备件服务：中标人应根据合同运维清单中的设备提前采购相关常用及易耗型备品备件并存放至采购人指定仓库，保障系统和设备的正常运行，且所提供的备品备件技术参数不得低于现使用设备的技术参数指标。中标人如因未能及时提供备品备件更换造成本运维项目系统设备故障不能正常运行的，中标人将承担相应违约赔偿责任，发生第一次时中标人应向采购人支付合同总价款5%的违约金，发生第二次时中标人应向采购人支付合同总价款10%的违约金，发生第三次时中标人应向采购人支付合同总价款20%的违约金且采购人有权解除合同。</w:t>
            </w:r>
          </w:p>
        </w:tc>
        <w:tc>
          <w:tcPr>
            <w:tcW w:w="1312" w:type="dxa"/>
          </w:tcPr>
          <w:p>
            <w:pPr>
              <w:tabs>
                <w:tab w:val="left" w:pos="765"/>
              </w:tabs>
              <w:spacing w:line="376" w:lineRule="auto"/>
              <w:outlineLvl w:val="3"/>
              <w:rPr>
                <w:rFonts w:hint="eastAsia" w:ascii="宋体" w:hAnsi="宋体" w:eastAsia="宋体" w:cs="宋体"/>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adjustRightInd w:val="0"/>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7163" w:type="dxa"/>
            <w:vAlign w:val="center"/>
          </w:tcPr>
          <w:p>
            <w:pPr>
              <w:pStyle w:val="16"/>
              <w:spacing w:line="360" w:lineRule="auto"/>
              <w:rPr>
                <w:rFonts w:hint="eastAsia" w:ascii="宋体" w:hAnsi="宋体" w:eastAsia="宋体" w:cs="宋体"/>
                <w:sz w:val="21"/>
                <w:szCs w:val="21"/>
              </w:rPr>
            </w:pPr>
            <w:r>
              <w:rPr>
                <w:rFonts w:hint="eastAsia" w:ascii="宋体" w:hAnsi="宋体" w:eastAsia="宋体" w:cs="宋体"/>
                <w:sz w:val="21"/>
                <w:szCs w:val="21"/>
              </w:rPr>
              <w:t>落实国家关于安全生产法、特种作业规定和采购人管理方（含地铁运营方）管理要求：投标人参与本项目运维服务项目团队中至少配备1名具有特种作业操作证（作业类别：电工作业）和1名具有特种作业操作证（作业类别：高处作业）的人员，如同一人同时符合两项证书要求的，可以重复计算。</w:t>
            </w:r>
          </w:p>
          <w:p>
            <w:pPr>
              <w:pStyle w:val="16"/>
              <w:spacing w:line="360" w:lineRule="auto"/>
              <w:rPr>
                <w:rFonts w:hint="eastAsia" w:ascii="宋体" w:hAnsi="宋体" w:eastAsia="宋体" w:cs="宋体"/>
                <w:sz w:val="21"/>
                <w:szCs w:val="21"/>
              </w:rPr>
            </w:pPr>
            <w:r>
              <w:rPr>
                <w:rFonts w:hint="eastAsia" w:ascii="宋体" w:hAnsi="宋体" w:eastAsia="宋体" w:cs="宋体"/>
                <w:sz w:val="21"/>
                <w:szCs w:val="21"/>
              </w:rPr>
              <w:t>1）要求提供通过投标人缴纳的近三个月(2024年4月-6月)的任意一个月的社保证明作为本单位员工的证明依据。若投标人成立不足一个月的，需提供成立情况说明函（格式自拟），无需提供相关人员社保，亦视为符合；若为退休返聘人员，需提供说明函（格式自拟），无需提供相关人员社保，亦视为符合。</w:t>
            </w:r>
          </w:p>
          <w:p>
            <w:pPr>
              <w:pStyle w:val="16"/>
              <w:spacing w:line="360" w:lineRule="auto"/>
              <w:rPr>
                <w:rFonts w:hint="eastAsia" w:ascii="宋体" w:hAnsi="宋体" w:eastAsia="宋体" w:cs="宋体"/>
                <w:sz w:val="21"/>
                <w:szCs w:val="21"/>
              </w:rPr>
            </w:pPr>
            <w:r>
              <w:rPr>
                <w:rFonts w:hint="eastAsia" w:ascii="宋体" w:hAnsi="宋体" w:eastAsia="宋体" w:cs="宋体"/>
                <w:sz w:val="21"/>
                <w:szCs w:val="21"/>
              </w:rPr>
              <w:t>2）要求提供上述员工在有效期内的相关证书扫描件或复印件和官方网站（中华人民共和国应急管理部--特种作业操作证及安全生产知识和管理能力考核合格信息查询平台（https://cx.mem.gov.cn/special?index=0）查询截图，原件备查。</w:t>
            </w:r>
          </w:p>
          <w:p>
            <w:pPr>
              <w:pStyle w:val="16"/>
              <w:spacing w:line="360" w:lineRule="auto"/>
              <w:rPr>
                <w:rFonts w:hint="eastAsia" w:ascii="宋体" w:hAnsi="宋体" w:eastAsia="宋体" w:cs="宋体"/>
                <w:kern w:val="0"/>
                <w:sz w:val="21"/>
                <w:szCs w:val="21"/>
              </w:rPr>
            </w:pPr>
            <w:r>
              <w:rPr>
                <w:rFonts w:hint="eastAsia" w:ascii="宋体" w:hAnsi="宋体" w:eastAsia="宋体" w:cs="宋体"/>
                <w:sz w:val="21"/>
                <w:szCs w:val="21"/>
              </w:rPr>
              <w:t>3）投标人所提供的上述证明资料因模糊、不清晰造成评审专家无法判断的，或投标文件中无相应证明资料的，按不满足本项要求处理。</w:t>
            </w:r>
          </w:p>
        </w:tc>
        <w:tc>
          <w:tcPr>
            <w:tcW w:w="1312" w:type="dxa"/>
          </w:tcPr>
          <w:p>
            <w:pPr>
              <w:adjustRightInd w:val="0"/>
              <w:snapToGrid w:val="0"/>
              <w:spacing w:line="360" w:lineRule="auto"/>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adjustRightInd w:val="0"/>
              <w:snapToGrid w:val="0"/>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7163" w:type="dxa"/>
            <w:vAlign w:val="center"/>
          </w:tcPr>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人员配置要求</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1.1投标人应组建运维服务团队，团队人员应满足运维服务事项或维护岗位（警用有线通信系统、警用视频监控系统、警用无线通信系统）正常履行要求，提供7*24小时的运维服务。运维服务团队情况应提交采购人审核，审核不通过的，中标人须按采购人意见无条件修改。运维服务团队所有人员应在通过采购人审核后且合同签订之日全部到岗。 </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1.2各系统维护人员要求：</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1)警用有线通信系统维护岗位:针对该项目提供7*24小时免费保修服务，并按要求预计配备3名或以上专业人员成立维护小组。</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2)警用视频监控系统维护岗位:针对该项目提供7*24小时免费保修服务，并按要求预计配备3名或以上专业人员成立维护小组。</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3)警用无线通信系统维护岗位:针对该项目提供7*24小时免费保修服务，并按要求预计配备3名或以上专业人员成立维护小组。</w:t>
            </w:r>
          </w:p>
        </w:tc>
        <w:tc>
          <w:tcPr>
            <w:tcW w:w="1312" w:type="dxa"/>
          </w:tcPr>
          <w:p>
            <w:pPr>
              <w:adjustRightInd w:val="0"/>
              <w:snapToGrid w:val="0"/>
              <w:spacing w:line="360" w:lineRule="auto"/>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adjustRightInd w:val="0"/>
              <w:snapToGrid w:val="0"/>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w:t>
            </w:r>
          </w:p>
        </w:tc>
        <w:tc>
          <w:tcPr>
            <w:tcW w:w="7163" w:type="dxa"/>
            <w:vAlign w:val="center"/>
          </w:tcPr>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监理监督要求</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本项目实行项目监理制，采购人另行聘请监理单位，由监理单位负责对项目运维质量和进度进行监督，中标人应承诺自觉接受和配合监理单位的监督。</w:t>
            </w:r>
          </w:p>
        </w:tc>
        <w:tc>
          <w:tcPr>
            <w:tcW w:w="1312" w:type="dxa"/>
          </w:tcPr>
          <w:p>
            <w:pPr>
              <w:adjustRightInd w:val="0"/>
              <w:snapToGrid w:val="0"/>
              <w:spacing w:line="360" w:lineRule="auto"/>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adjustRightInd w:val="0"/>
              <w:snapToGrid w:val="0"/>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c>
          <w:tcPr>
            <w:tcW w:w="7163" w:type="dxa"/>
            <w:vAlign w:val="center"/>
          </w:tcPr>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质量考核验收标准及违约金：</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采购人每半年对中标人履约情况进行考核，评定优、良、中、差四个等级，其中评定为良、中、差三个等级的，采购人有权分别扣除合同总价款的5%、10%、15%。如中标人未能达到合同约定的服务及考核要求，采购人有权要求中标人从已收取的合同款项中退回相应考核比例的款项。</w:t>
            </w:r>
          </w:p>
          <w:p>
            <w:pPr>
              <w:adjustRightInd w:val="0"/>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2.质量考核验收标准：采购人聘请专家对本项目中标人的保密工作、信息安全、安全生产、服务人数、服务质量（包括但不限于故障维护响应时间、故障处理时间、设备在线率等）、资料管理等进行履约评价，履约评价满分设100分，综合得分95（含）至100分的评定为优，85（含）至95分的为良60（含）至85分的为中，60分以下的为差。</w:t>
            </w:r>
          </w:p>
        </w:tc>
        <w:tc>
          <w:tcPr>
            <w:tcW w:w="1312" w:type="dxa"/>
          </w:tcPr>
          <w:p>
            <w:pPr>
              <w:adjustRightInd w:val="0"/>
              <w:snapToGrid w:val="0"/>
              <w:spacing w:line="360" w:lineRule="auto"/>
              <w:rPr>
                <w:rFonts w:hint="eastAsia" w:ascii="宋体" w:hAnsi="宋体" w:eastAsia="宋体" w:cs="宋体"/>
                <w:kern w:val="0"/>
                <w:sz w:val="21"/>
                <w:szCs w:val="21"/>
              </w:rPr>
            </w:pPr>
          </w:p>
        </w:tc>
      </w:tr>
    </w:tbl>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中的不可负偏离条款，即“实质性条款”。</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kern w:val="0"/>
          <w:szCs w:val="21"/>
        </w:rPr>
        <w:t>采购人要求内容</w:t>
      </w:r>
      <w:r>
        <w:rPr>
          <w:rFonts w:hint="eastAsia" w:asciiTheme="minorEastAsia" w:hAnsiTheme="minorEastAsia" w:eastAsiaTheme="minorEastAsia"/>
          <w:bCs/>
          <w:kern w:val="0"/>
          <w:szCs w:val="21"/>
        </w:rPr>
        <w:t>”中涉及提供证明材料的，应附在本表后，未提供证明材料或证明材料与响应情况不相符的，按负偏离处理。</w:t>
      </w:r>
    </w:p>
    <w:p>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九、详细分项报价清单</w:t>
      </w:r>
    </w:p>
    <w:tbl>
      <w:tblPr>
        <w:tblStyle w:val="43"/>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249"/>
        <w:gridCol w:w="2835"/>
        <w:gridCol w:w="23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pPr>
              <w:adjustRightInd w:val="0"/>
              <w:snapToGrid w:val="0"/>
              <w:spacing w:line="300" w:lineRule="auto"/>
              <w:jc w:val="center"/>
              <w:rPr>
                <w:b/>
                <w:snapToGrid w:val="0"/>
                <w:kern w:val="0"/>
              </w:rPr>
            </w:pPr>
            <w:r>
              <w:rPr>
                <w:b/>
                <w:snapToGrid w:val="0"/>
                <w:kern w:val="0"/>
              </w:rPr>
              <w:t>序号</w:t>
            </w:r>
          </w:p>
        </w:tc>
        <w:tc>
          <w:tcPr>
            <w:tcW w:w="3249" w:type="dxa"/>
            <w:vAlign w:val="center"/>
          </w:tcPr>
          <w:p>
            <w:pPr>
              <w:adjustRightInd w:val="0"/>
              <w:snapToGrid w:val="0"/>
              <w:spacing w:line="300" w:lineRule="auto"/>
              <w:jc w:val="center"/>
              <w:rPr>
                <w:b/>
                <w:snapToGrid w:val="0"/>
                <w:kern w:val="0"/>
              </w:rPr>
            </w:pPr>
            <w:r>
              <w:rPr>
                <w:rFonts w:hint="eastAsia"/>
                <w:b/>
                <w:snapToGrid w:val="0"/>
                <w:kern w:val="0"/>
              </w:rPr>
              <w:t>项目内容</w:t>
            </w:r>
          </w:p>
        </w:tc>
        <w:tc>
          <w:tcPr>
            <w:tcW w:w="2835" w:type="dxa"/>
            <w:vAlign w:val="center"/>
          </w:tcPr>
          <w:p>
            <w:pPr>
              <w:adjustRightInd w:val="0"/>
              <w:snapToGrid w:val="0"/>
              <w:spacing w:line="300" w:lineRule="auto"/>
              <w:jc w:val="center"/>
              <w:rPr>
                <w:b/>
                <w:snapToGrid w:val="0"/>
                <w:kern w:val="0"/>
              </w:rPr>
            </w:pPr>
            <w:r>
              <w:rPr>
                <w:rFonts w:hint="eastAsia"/>
                <w:b/>
                <w:snapToGrid w:val="0"/>
                <w:kern w:val="0"/>
              </w:rPr>
              <w:t>费用</w:t>
            </w:r>
            <w:r>
              <w:rPr>
                <w:b/>
                <w:snapToGrid w:val="0"/>
                <w:kern w:val="0"/>
              </w:rPr>
              <w:t>（单位：</w:t>
            </w:r>
            <w:r>
              <w:rPr>
                <w:rFonts w:hint="eastAsia"/>
                <w:b/>
                <w:snapToGrid w:val="0"/>
                <w:kern w:val="0"/>
              </w:rPr>
              <w:t>人民币</w:t>
            </w:r>
            <w:r>
              <w:rPr>
                <w:b/>
                <w:snapToGrid w:val="0"/>
                <w:kern w:val="0"/>
              </w:rPr>
              <w:t>元）</w:t>
            </w:r>
          </w:p>
        </w:tc>
        <w:tc>
          <w:tcPr>
            <w:tcW w:w="2376" w:type="dxa"/>
            <w:vAlign w:val="center"/>
          </w:tcPr>
          <w:p>
            <w:pPr>
              <w:adjustRightInd w:val="0"/>
              <w:snapToGrid w:val="0"/>
              <w:spacing w:line="300" w:lineRule="auto"/>
              <w:jc w:val="center"/>
              <w:rPr>
                <w:b/>
                <w:snapToGrid w:val="0"/>
                <w:kern w:val="0"/>
              </w:rPr>
            </w:pPr>
            <w:r>
              <w:rPr>
                <w:rFonts w:hint="eastAsia"/>
                <w:b/>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828" w:type="dxa"/>
            <w:vAlign w:val="center"/>
          </w:tcPr>
          <w:p>
            <w:pPr>
              <w:adjustRightInd w:val="0"/>
              <w:snapToGrid w:val="0"/>
              <w:spacing w:line="300" w:lineRule="auto"/>
              <w:jc w:val="center"/>
              <w:rPr>
                <w:snapToGrid w:val="0"/>
                <w:kern w:val="0"/>
              </w:rPr>
            </w:pPr>
            <w:r>
              <w:rPr>
                <w:snapToGrid w:val="0"/>
                <w:kern w:val="0"/>
              </w:rPr>
              <w:t>1</w:t>
            </w:r>
          </w:p>
        </w:tc>
        <w:tc>
          <w:tcPr>
            <w:tcW w:w="3249" w:type="dxa"/>
            <w:vAlign w:val="center"/>
          </w:tcPr>
          <w:p>
            <w:pPr>
              <w:adjustRightInd w:val="0"/>
              <w:snapToGrid w:val="0"/>
              <w:spacing w:line="300" w:lineRule="auto"/>
              <w:rPr>
                <w:snapToGrid w:val="0"/>
                <w:kern w:val="0"/>
              </w:rPr>
            </w:pPr>
          </w:p>
        </w:tc>
        <w:tc>
          <w:tcPr>
            <w:tcW w:w="2835"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828" w:type="dxa"/>
            <w:vAlign w:val="center"/>
          </w:tcPr>
          <w:p>
            <w:pPr>
              <w:adjustRightInd w:val="0"/>
              <w:snapToGrid w:val="0"/>
              <w:spacing w:line="300" w:lineRule="auto"/>
              <w:jc w:val="center"/>
              <w:rPr>
                <w:snapToGrid w:val="0"/>
                <w:kern w:val="0"/>
              </w:rPr>
            </w:pPr>
            <w:r>
              <w:rPr>
                <w:rFonts w:hint="eastAsia"/>
                <w:snapToGrid w:val="0"/>
                <w:kern w:val="0"/>
              </w:rPr>
              <w:t>2</w:t>
            </w:r>
          </w:p>
        </w:tc>
        <w:tc>
          <w:tcPr>
            <w:tcW w:w="3249" w:type="dxa"/>
            <w:vAlign w:val="center"/>
          </w:tcPr>
          <w:p>
            <w:pPr>
              <w:adjustRightInd w:val="0"/>
              <w:snapToGrid w:val="0"/>
              <w:spacing w:line="300" w:lineRule="auto"/>
              <w:rPr>
                <w:rFonts w:ascii="宋体" w:hAnsi="宋体"/>
                <w:szCs w:val="21"/>
                <w:lang w:val="zh-CN"/>
              </w:rPr>
            </w:pPr>
          </w:p>
        </w:tc>
        <w:tc>
          <w:tcPr>
            <w:tcW w:w="2835"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828" w:type="dxa"/>
            <w:vAlign w:val="center"/>
          </w:tcPr>
          <w:p>
            <w:pPr>
              <w:adjustRightInd w:val="0"/>
              <w:snapToGrid w:val="0"/>
              <w:spacing w:line="300" w:lineRule="auto"/>
              <w:jc w:val="center"/>
              <w:rPr>
                <w:snapToGrid w:val="0"/>
                <w:kern w:val="0"/>
              </w:rPr>
            </w:pPr>
            <w:r>
              <w:rPr>
                <w:rFonts w:hint="eastAsia"/>
                <w:snapToGrid w:val="0"/>
                <w:kern w:val="0"/>
              </w:rPr>
              <w:t>3</w:t>
            </w:r>
          </w:p>
        </w:tc>
        <w:tc>
          <w:tcPr>
            <w:tcW w:w="3249" w:type="dxa"/>
            <w:vAlign w:val="center"/>
          </w:tcPr>
          <w:p>
            <w:pPr>
              <w:adjustRightInd w:val="0"/>
              <w:snapToGrid w:val="0"/>
              <w:spacing w:line="300" w:lineRule="auto"/>
              <w:rPr>
                <w:rFonts w:ascii="宋体" w:hAnsi="宋体"/>
                <w:szCs w:val="21"/>
                <w:lang w:val="zh-CN"/>
              </w:rPr>
            </w:pPr>
          </w:p>
        </w:tc>
        <w:tc>
          <w:tcPr>
            <w:tcW w:w="2835"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828" w:type="dxa"/>
            <w:vAlign w:val="center"/>
          </w:tcPr>
          <w:p>
            <w:pPr>
              <w:adjustRightInd w:val="0"/>
              <w:snapToGrid w:val="0"/>
              <w:spacing w:line="300" w:lineRule="auto"/>
              <w:jc w:val="center"/>
              <w:rPr>
                <w:snapToGrid w:val="0"/>
                <w:kern w:val="0"/>
              </w:rPr>
            </w:pPr>
            <w:r>
              <w:rPr>
                <w:rFonts w:hint="eastAsia"/>
                <w:snapToGrid w:val="0"/>
                <w:kern w:val="0"/>
              </w:rPr>
              <w:t>4</w:t>
            </w:r>
          </w:p>
        </w:tc>
        <w:tc>
          <w:tcPr>
            <w:tcW w:w="3249" w:type="dxa"/>
            <w:vAlign w:val="center"/>
          </w:tcPr>
          <w:p>
            <w:pPr>
              <w:adjustRightInd w:val="0"/>
              <w:snapToGrid w:val="0"/>
              <w:spacing w:line="300" w:lineRule="auto"/>
              <w:rPr>
                <w:rFonts w:ascii="宋体" w:hAnsi="宋体"/>
                <w:szCs w:val="21"/>
                <w:lang w:val="zh-CN"/>
              </w:rPr>
            </w:pPr>
          </w:p>
        </w:tc>
        <w:tc>
          <w:tcPr>
            <w:tcW w:w="2835"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4077" w:type="dxa"/>
            <w:gridSpan w:val="2"/>
            <w:vAlign w:val="center"/>
          </w:tcPr>
          <w:p>
            <w:pPr>
              <w:adjustRightInd w:val="0"/>
              <w:snapToGrid w:val="0"/>
              <w:spacing w:line="300" w:lineRule="auto"/>
              <w:jc w:val="center"/>
              <w:rPr>
                <w:snapToGrid w:val="0"/>
                <w:kern w:val="0"/>
              </w:rPr>
            </w:pPr>
            <w:r>
              <w:rPr>
                <w:snapToGrid w:val="0"/>
                <w:kern w:val="0"/>
              </w:rPr>
              <w:t>合   计</w:t>
            </w:r>
            <w:r>
              <w:rPr>
                <w:rFonts w:hint="eastAsia"/>
                <w:snapToGrid w:val="0"/>
                <w:kern w:val="0"/>
              </w:rPr>
              <w:t>（</w:t>
            </w:r>
            <w:r>
              <w:rPr>
                <w:rFonts w:hint="eastAsia" w:ascii="宋体" w:hAnsi="宋体"/>
                <w:szCs w:val="21"/>
              </w:rPr>
              <w:t>即投标总价</w:t>
            </w:r>
            <w:r>
              <w:rPr>
                <w:rFonts w:hint="eastAsia"/>
                <w:snapToGrid w:val="0"/>
                <w:kern w:val="0"/>
              </w:rPr>
              <w:t>）</w:t>
            </w:r>
          </w:p>
        </w:tc>
        <w:tc>
          <w:tcPr>
            <w:tcW w:w="2835"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bl>
    <w:p>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left" w:pos="765"/>
        </w:tabs>
        <w:spacing w:line="376" w:lineRule="auto"/>
        <w:outlineLvl w:val="3"/>
        <w:rPr>
          <w:rFonts w:asciiTheme="minorEastAsia" w:hAnsiTheme="minorEastAsia" w:eastAsiaTheme="minorEastAsia"/>
          <w:bCs/>
          <w:kern w:val="0"/>
          <w:szCs w:val="21"/>
        </w:rPr>
      </w:pPr>
    </w:p>
    <w:p>
      <w:pPr>
        <w:spacing w:after="156" w:afterLines="50"/>
        <w:jc w:val="center"/>
        <w:rPr>
          <w:rFonts w:ascii="黑体" w:hAnsi="宋体" w:eastAsia="黑体"/>
          <w:bCs/>
          <w:kern w:val="0"/>
          <w:sz w:val="24"/>
          <w:szCs w:val="24"/>
        </w:rPr>
      </w:pPr>
      <w:r>
        <w:rPr>
          <w:rFonts w:hint="eastAsia" w:ascii="黑体" w:hAnsi="宋体" w:eastAsia="黑体"/>
          <w:bCs/>
          <w:kern w:val="0"/>
          <w:sz w:val="24"/>
          <w:szCs w:val="24"/>
        </w:rPr>
        <w:t>十、服务要求偏离表</w:t>
      </w:r>
    </w:p>
    <w:tbl>
      <w:tblPr>
        <w:tblStyle w:val="43"/>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pPr>
              <w:jc w:val="center"/>
              <w:rPr>
                <w:rFonts w:ascii="宋体" w:hAnsi="宋体"/>
                <w:szCs w:val="21"/>
              </w:rPr>
            </w:pPr>
            <w:r>
              <w:rPr>
                <w:rFonts w:hint="eastAsia" w:ascii="宋体" w:hAnsi="宋体"/>
                <w:szCs w:val="21"/>
              </w:rPr>
              <w:t>序号</w:t>
            </w:r>
          </w:p>
        </w:tc>
        <w:tc>
          <w:tcPr>
            <w:tcW w:w="2551" w:type="dxa"/>
            <w:vAlign w:val="center"/>
          </w:tcPr>
          <w:p>
            <w:pPr>
              <w:jc w:val="center"/>
              <w:rPr>
                <w:rFonts w:ascii="宋体" w:hAnsi="宋体"/>
                <w:szCs w:val="21"/>
              </w:rPr>
            </w:pPr>
            <w:r>
              <w:rPr>
                <w:rFonts w:hint="eastAsia" w:ascii="宋体" w:hAnsi="宋体"/>
                <w:szCs w:val="21"/>
              </w:rPr>
              <w:t>招标文件服务要求</w:t>
            </w:r>
          </w:p>
        </w:tc>
        <w:tc>
          <w:tcPr>
            <w:tcW w:w="1985" w:type="dxa"/>
            <w:vAlign w:val="center"/>
          </w:tcPr>
          <w:p>
            <w:pPr>
              <w:jc w:val="center"/>
              <w:rPr>
                <w:rFonts w:ascii="宋体" w:hAnsi="宋体"/>
                <w:szCs w:val="21"/>
              </w:rPr>
            </w:pPr>
            <w:r>
              <w:rPr>
                <w:rFonts w:hint="eastAsia" w:ascii="宋体" w:hAnsi="宋体"/>
                <w:szCs w:val="21"/>
              </w:rPr>
              <w:t>投标文件服务响应</w:t>
            </w:r>
          </w:p>
        </w:tc>
        <w:tc>
          <w:tcPr>
            <w:tcW w:w="1276" w:type="dxa"/>
            <w:vAlign w:val="center"/>
          </w:tcPr>
          <w:p>
            <w:pPr>
              <w:jc w:val="center"/>
              <w:rPr>
                <w:rFonts w:ascii="宋体" w:hAnsi="宋体"/>
                <w:szCs w:val="21"/>
              </w:rPr>
            </w:pPr>
            <w:r>
              <w:rPr>
                <w:rFonts w:hint="eastAsia" w:ascii="宋体" w:hAnsi="宋体"/>
                <w:szCs w:val="21"/>
              </w:rPr>
              <w:t>偏离情况</w:t>
            </w:r>
          </w:p>
        </w:tc>
        <w:tc>
          <w:tcPr>
            <w:tcW w:w="2551" w:type="dxa"/>
            <w:vAlign w:val="center"/>
          </w:tcPr>
          <w:p>
            <w:pPr>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pPr>
              <w:rPr>
                <w:sz w:val="24"/>
              </w:rPr>
            </w:pPr>
          </w:p>
        </w:tc>
        <w:tc>
          <w:tcPr>
            <w:tcW w:w="2551" w:type="dxa"/>
          </w:tcPr>
          <w:p>
            <w:pPr>
              <w:rPr>
                <w:sz w:val="24"/>
              </w:rPr>
            </w:pPr>
          </w:p>
        </w:tc>
        <w:tc>
          <w:tcPr>
            <w:tcW w:w="1985" w:type="dxa"/>
          </w:tcPr>
          <w:p>
            <w:pPr>
              <w:rPr>
                <w:sz w:val="24"/>
              </w:rPr>
            </w:pPr>
          </w:p>
        </w:tc>
        <w:tc>
          <w:tcPr>
            <w:tcW w:w="1276" w:type="dxa"/>
          </w:tcPr>
          <w:p>
            <w:pPr>
              <w:rPr>
                <w:sz w:val="24"/>
              </w:rPr>
            </w:pPr>
          </w:p>
        </w:tc>
        <w:tc>
          <w:tcPr>
            <w:tcW w:w="2551" w:type="dxa"/>
          </w:tcPr>
          <w:p>
            <w:pPr>
              <w:rPr>
                <w:szCs w:val="21"/>
              </w:rPr>
            </w:pPr>
            <w:r>
              <w:rPr>
                <w:rFonts w:hint="eastAsia"/>
                <w:szCs w:val="21"/>
              </w:rPr>
              <w:t>如需附证明文件，应在“说明”栏填写证明文件对应名称和页码。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pPr>
              <w:rPr>
                <w:sz w:val="24"/>
              </w:rPr>
            </w:pPr>
          </w:p>
        </w:tc>
        <w:tc>
          <w:tcPr>
            <w:tcW w:w="2551" w:type="dxa"/>
          </w:tcPr>
          <w:p>
            <w:pPr>
              <w:rPr>
                <w:sz w:val="24"/>
              </w:rPr>
            </w:pPr>
          </w:p>
        </w:tc>
        <w:tc>
          <w:tcPr>
            <w:tcW w:w="1985" w:type="dxa"/>
          </w:tcPr>
          <w:p>
            <w:pPr>
              <w:rPr>
                <w:sz w:val="24"/>
              </w:rPr>
            </w:pPr>
          </w:p>
        </w:tc>
        <w:tc>
          <w:tcPr>
            <w:tcW w:w="1276" w:type="dxa"/>
          </w:tcPr>
          <w:p>
            <w:pPr>
              <w:rPr>
                <w:sz w:val="24"/>
              </w:rPr>
            </w:pPr>
          </w:p>
        </w:tc>
        <w:tc>
          <w:tcPr>
            <w:tcW w:w="2551" w:type="dxa"/>
          </w:tcPr>
          <w:p>
            <w:pPr>
              <w:rPr>
                <w:sz w:val="24"/>
              </w:rPr>
            </w:pPr>
          </w:p>
        </w:tc>
      </w:tr>
    </w:tbl>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pPr>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pPr>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pPr>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after="156" w:afterLines="50"/>
        <w:jc w:val="center"/>
        <w:rPr>
          <w:rFonts w:ascii="黑体" w:hAnsi="宋体" w:eastAsia="黑体"/>
          <w:bCs/>
          <w:kern w:val="0"/>
          <w:sz w:val="24"/>
          <w:szCs w:val="24"/>
        </w:rPr>
      </w:pPr>
      <w:r>
        <w:rPr>
          <w:rFonts w:hint="eastAsia" w:ascii="黑体" w:hAnsi="宋体" w:eastAsia="黑体"/>
          <w:bCs/>
          <w:kern w:val="0"/>
          <w:sz w:val="24"/>
          <w:szCs w:val="24"/>
        </w:rPr>
        <w:t>十一、商务要求偏离表</w:t>
      </w:r>
    </w:p>
    <w:tbl>
      <w:tblPr>
        <w:tblStyle w:val="43"/>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44"/>
        <w:gridCol w:w="2010"/>
        <w:gridCol w:w="1260"/>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pPr>
              <w:jc w:val="center"/>
              <w:rPr>
                <w:rFonts w:ascii="宋体" w:hAnsi="宋体"/>
                <w:szCs w:val="21"/>
              </w:rPr>
            </w:pPr>
            <w:r>
              <w:rPr>
                <w:rFonts w:hint="eastAsia" w:ascii="宋体" w:hAnsi="宋体"/>
                <w:szCs w:val="21"/>
              </w:rPr>
              <w:t>序号</w:t>
            </w:r>
          </w:p>
        </w:tc>
        <w:tc>
          <w:tcPr>
            <w:tcW w:w="2544" w:type="dxa"/>
            <w:vAlign w:val="center"/>
          </w:tcPr>
          <w:p>
            <w:pPr>
              <w:jc w:val="center"/>
              <w:rPr>
                <w:rFonts w:ascii="宋体" w:hAnsi="宋体"/>
                <w:szCs w:val="21"/>
              </w:rPr>
            </w:pPr>
            <w:r>
              <w:rPr>
                <w:rFonts w:hint="eastAsia" w:ascii="宋体" w:hAnsi="宋体"/>
                <w:szCs w:val="21"/>
              </w:rPr>
              <w:t>招标文件商务要求</w:t>
            </w:r>
          </w:p>
        </w:tc>
        <w:tc>
          <w:tcPr>
            <w:tcW w:w="2010" w:type="dxa"/>
            <w:vAlign w:val="center"/>
          </w:tcPr>
          <w:p>
            <w:pPr>
              <w:jc w:val="center"/>
              <w:rPr>
                <w:rFonts w:ascii="宋体" w:hAnsi="宋体"/>
                <w:szCs w:val="21"/>
              </w:rPr>
            </w:pPr>
            <w:r>
              <w:rPr>
                <w:rFonts w:hint="eastAsia" w:ascii="宋体" w:hAnsi="宋体"/>
                <w:szCs w:val="21"/>
              </w:rPr>
              <w:t>投标文件商务响应</w:t>
            </w:r>
          </w:p>
        </w:tc>
        <w:tc>
          <w:tcPr>
            <w:tcW w:w="1260" w:type="dxa"/>
            <w:vAlign w:val="center"/>
          </w:tcPr>
          <w:p>
            <w:pPr>
              <w:jc w:val="center"/>
              <w:rPr>
                <w:rFonts w:ascii="宋体" w:hAnsi="宋体"/>
                <w:szCs w:val="21"/>
              </w:rPr>
            </w:pPr>
            <w:r>
              <w:rPr>
                <w:rFonts w:hint="eastAsia" w:ascii="宋体" w:hAnsi="宋体"/>
                <w:szCs w:val="21"/>
              </w:rPr>
              <w:t>偏离情况</w:t>
            </w:r>
          </w:p>
        </w:tc>
        <w:tc>
          <w:tcPr>
            <w:tcW w:w="2499" w:type="dxa"/>
            <w:vAlign w:val="center"/>
          </w:tcPr>
          <w:p>
            <w:pPr>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pPr>
              <w:rPr>
                <w:sz w:val="24"/>
              </w:rPr>
            </w:pPr>
          </w:p>
        </w:tc>
        <w:tc>
          <w:tcPr>
            <w:tcW w:w="2544" w:type="dxa"/>
          </w:tcPr>
          <w:p>
            <w:pPr>
              <w:rPr>
                <w:sz w:val="24"/>
              </w:rPr>
            </w:pPr>
          </w:p>
        </w:tc>
        <w:tc>
          <w:tcPr>
            <w:tcW w:w="2010" w:type="dxa"/>
          </w:tcPr>
          <w:p>
            <w:pPr>
              <w:rPr>
                <w:sz w:val="24"/>
              </w:rPr>
            </w:pPr>
          </w:p>
        </w:tc>
        <w:tc>
          <w:tcPr>
            <w:tcW w:w="1260" w:type="dxa"/>
          </w:tcPr>
          <w:p>
            <w:pPr>
              <w:rPr>
                <w:sz w:val="24"/>
              </w:rPr>
            </w:pPr>
          </w:p>
        </w:tc>
        <w:tc>
          <w:tcPr>
            <w:tcW w:w="2499" w:type="dxa"/>
          </w:tcPr>
          <w:p>
            <w:pPr>
              <w:rPr>
                <w:sz w:val="24"/>
              </w:rPr>
            </w:pPr>
            <w:r>
              <w:rPr>
                <w:rFonts w:hint="eastAsia"/>
                <w:szCs w:val="21"/>
              </w:rPr>
              <w:t>如需附证明文件，应在“说明”栏填写证明文件对应名称和页码。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pPr>
              <w:rPr>
                <w:sz w:val="24"/>
              </w:rPr>
            </w:pPr>
          </w:p>
        </w:tc>
        <w:tc>
          <w:tcPr>
            <w:tcW w:w="2544" w:type="dxa"/>
          </w:tcPr>
          <w:p>
            <w:pPr>
              <w:rPr>
                <w:sz w:val="24"/>
              </w:rPr>
            </w:pPr>
          </w:p>
        </w:tc>
        <w:tc>
          <w:tcPr>
            <w:tcW w:w="2010" w:type="dxa"/>
          </w:tcPr>
          <w:p>
            <w:pPr>
              <w:rPr>
                <w:sz w:val="24"/>
              </w:rPr>
            </w:pPr>
          </w:p>
        </w:tc>
        <w:tc>
          <w:tcPr>
            <w:tcW w:w="1260" w:type="dxa"/>
          </w:tcPr>
          <w:p>
            <w:pPr>
              <w:rPr>
                <w:sz w:val="24"/>
              </w:rPr>
            </w:pPr>
          </w:p>
        </w:tc>
        <w:tc>
          <w:tcPr>
            <w:tcW w:w="2499" w:type="dxa"/>
          </w:tcPr>
          <w:p>
            <w:pPr>
              <w:rPr>
                <w:sz w:val="24"/>
              </w:rPr>
            </w:pPr>
          </w:p>
        </w:tc>
      </w:tr>
    </w:tbl>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pPr>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rPr>
        <w:t>十二、实施方案</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十三、</w:t>
      </w:r>
      <w:r>
        <w:rPr>
          <w:rFonts w:hint="eastAsia" w:ascii="黑体" w:hAnsi="宋体" w:eastAsia="黑体"/>
          <w:bCs/>
          <w:kern w:val="0"/>
          <w:sz w:val="24"/>
          <w:szCs w:val="24"/>
        </w:rPr>
        <w:t>项目重点难点分析、应对措施及相关的合理化建议</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十四、</w:t>
      </w:r>
      <w:r>
        <w:rPr>
          <w:rFonts w:hint="eastAsia" w:ascii="黑体" w:hAnsi="宋体" w:eastAsia="黑体"/>
          <w:bCs/>
          <w:kern w:val="0"/>
          <w:sz w:val="24"/>
          <w:szCs w:val="24"/>
        </w:rPr>
        <w:t>质量保障措施及方案</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十五、</w:t>
      </w:r>
      <w:r>
        <w:rPr>
          <w:rFonts w:hint="eastAsia" w:ascii="黑体" w:hAnsi="宋体" w:eastAsia="黑体"/>
          <w:bCs/>
          <w:kern w:val="0"/>
          <w:sz w:val="24"/>
          <w:szCs w:val="24"/>
        </w:rPr>
        <w:t>项目完成（服务期满）后的服务承诺</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十六、</w:t>
      </w:r>
      <w:r>
        <w:rPr>
          <w:rFonts w:hint="eastAsia" w:ascii="黑体" w:hAnsi="宋体" w:eastAsia="黑体"/>
          <w:bCs/>
          <w:kern w:val="0"/>
          <w:sz w:val="24"/>
          <w:szCs w:val="24"/>
        </w:rPr>
        <w:t>违约承诺</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十七、</w:t>
      </w:r>
      <w:r>
        <w:rPr>
          <w:rFonts w:hint="eastAsia" w:ascii="黑体" w:hAnsi="宋体" w:eastAsia="黑体"/>
          <w:bCs/>
          <w:kern w:val="0"/>
          <w:sz w:val="24"/>
          <w:szCs w:val="24"/>
        </w:rPr>
        <w:t>拟安排的项目负责人情况（仅限一人）</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十八、</w:t>
      </w:r>
      <w:r>
        <w:rPr>
          <w:rFonts w:hint="eastAsia" w:ascii="黑体" w:hAnsi="宋体" w:eastAsia="黑体"/>
          <w:bCs/>
          <w:kern w:val="0"/>
          <w:sz w:val="24"/>
          <w:szCs w:val="24"/>
        </w:rPr>
        <w:t>拟安排的项目主要团队成员（主要技术人员）情况（项目负责人除外）</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十九、</w:t>
      </w:r>
      <w:r>
        <w:rPr>
          <w:rFonts w:hint="eastAsia" w:ascii="黑体" w:hAnsi="宋体" w:eastAsia="黑体"/>
          <w:bCs/>
          <w:kern w:val="0"/>
          <w:sz w:val="24"/>
          <w:szCs w:val="24"/>
        </w:rPr>
        <w:t>拟投入的服务资源（车辆、场地）情况</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二十、</w:t>
      </w:r>
      <w:r>
        <w:rPr>
          <w:rFonts w:hint="eastAsia" w:ascii="黑体" w:hAnsi="宋体" w:eastAsia="黑体"/>
          <w:bCs/>
          <w:kern w:val="0"/>
          <w:sz w:val="24"/>
          <w:szCs w:val="24"/>
        </w:rPr>
        <w:t>供应商认证情况</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二十一、</w:t>
      </w:r>
      <w:r>
        <w:rPr>
          <w:rFonts w:hint="eastAsia" w:ascii="黑体" w:hAnsi="宋体" w:eastAsia="黑体"/>
          <w:bCs/>
          <w:kern w:val="0"/>
          <w:sz w:val="24"/>
          <w:szCs w:val="24"/>
        </w:rPr>
        <w:t>供应商同类项目业绩情况</w:t>
      </w:r>
    </w:p>
    <w:p>
      <w:pPr>
        <w:spacing w:after="156"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二十二、</w:t>
      </w:r>
      <w:r>
        <w:rPr>
          <w:rFonts w:hint="eastAsia" w:ascii="黑体" w:hAnsi="宋体" w:eastAsia="黑体"/>
          <w:bCs/>
          <w:kern w:val="0"/>
          <w:sz w:val="24"/>
          <w:szCs w:val="24"/>
        </w:rPr>
        <w:t>服务网点</w:t>
      </w:r>
    </w:p>
    <w:p>
      <w:pPr>
        <w:spacing w:after="156" w:afterLines="50"/>
        <w:jc w:val="center"/>
        <w:rPr>
          <w:rFonts w:ascii="黑体" w:hAnsi="宋体" w:eastAsia="黑体"/>
          <w:bCs/>
          <w:kern w:val="0"/>
          <w:sz w:val="24"/>
          <w:szCs w:val="24"/>
        </w:rPr>
      </w:pPr>
      <w:r>
        <w:rPr>
          <w:rFonts w:hint="eastAsia" w:ascii="黑体" w:hAnsi="宋体" w:eastAsia="黑体"/>
          <w:bCs/>
          <w:kern w:val="0"/>
          <w:sz w:val="24"/>
          <w:szCs w:val="24"/>
          <w:lang w:val="en-US" w:eastAsia="zh-CN"/>
        </w:rPr>
        <w:t>二十三、</w:t>
      </w:r>
      <w:r>
        <w:rPr>
          <w:rFonts w:hint="eastAsia" w:ascii="黑体" w:hAnsi="宋体" w:eastAsia="黑体"/>
          <w:bCs/>
          <w:kern w:val="0"/>
          <w:sz w:val="24"/>
          <w:szCs w:val="24"/>
        </w:rPr>
        <w:t>诚信评审</w:t>
      </w:r>
    </w:p>
    <w:p>
      <w:pPr>
        <w:jc w:val="center"/>
        <w:rPr>
          <w:rFonts w:ascii="黑体" w:hAnsi="宋体" w:eastAsia="黑体"/>
          <w:bCs/>
          <w:kern w:val="0"/>
          <w:sz w:val="24"/>
          <w:szCs w:val="24"/>
        </w:rPr>
      </w:pPr>
      <w:r>
        <w:rPr>
          <w:rFonts w:hint="eastAsia" w:ascii="黑体" w:hAnsi="宋体" w:eastAsia="黑体"/>
          <w:bCs/>
          <w:kern w:val="0"/>
          <w:sz w:val="24"/>
          <w:szCs w:val="24"/>
        </w:rPr>
        <w:t>二十</w:t>
      </w:r>
      <w:r>
        <w:rPr>
          <w:rFonts w:hint="eastAsia" w:ascii="黑体" w:hAnsi="宋体" w:eastAsia="黑体"/>
          <w:bCs/>
          <w:kern w:val="0"/>
          <w:sz w:val="24"/>
          <w:szCs w:val="24"/>
          <w:lang w:val="en-US" w:eastAsia="zh-CN"/>
        </w:rPr>
        <w:t>四</w:t>
      </w:r>
      <w:r>
        <w:rPr>
          <w:rFonts w:hint="eastAsia" w:ascii="黑体" w:hAnsi="宋体" w:eastAsia="黑体"/>
          <w:bCs/>
          <w:kern w:val="0"/>
          <w:sz w:val="24"/>
          <w:szCs w:val="24"/>
        </w:rPr>
        <w:t>、招标文件要求的其它内容或投标人认为需要补充的资料（格式自定）</w:t>
      </w:r>
    </w:p>
    <w:p>
      <w:pPr>
        <w:snapToGrid w:val="0"/>
        <w:spacing w:line="360" w:lineRule="auto"/>
        <w:jc w:val="left"/>
        <w:outlineLvl w:val="4"/>
        <w:rPr>
          <w:rFonts w:ascii="黑体" w:hAnsi="宋体" w:eastAsia="黑体"/>
          <w:bCs/>
          <w:kern w:val="0"/>
          <w:sz w:val="24"/>
          <w:szCs w:val="24"/>
        </w:rPr>
      </w:pPr>
    </w:p>
    <w:p>
      <w:pPr>
        <w:snapToGrid w:val="0"/>
        <w:spacing w:line="360" w:lineRule="auto"/>
        <w:jc w:val="left"/>
        <w:outlineLvl w:val="4"/>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第七十五条规定：供应商有下列情形的，属于采购条例所称的串通投标行为。</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snapToGrid w:val="0"/>
        <w:spacing w:line="360" w:lineRule="auto"/>
        <w:jc w:val="left"/>
        <w:rPr>
          <w:rFonts w:asciiTheme="minorEastAsia" w:hAnsiTheme="minorEastAsia" w:eastAsiaTheme="minorEastAsia"/>
          <w:color w:val="FF0000"/>
          <w:kern w:val="0"/>
          <w:szCs w:val="21"/>
        </w:rPr>
      </w:pPr>
    </w:p>
    <w:p>
      <w:pPr>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或税务部门原因暂时无法提供社保证明的，需提供加盖公章的情况说明或者证明材料。）</w:t>
      </w:r>
    </w:p>
    <w:p>
      <w:pPr>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pPr>
        <w:widowControl/>
        <w:jc w:val="left"/>
        <w:rPr>
          <w:rFonts w:ascii="黑体" w:hAnsi="宋体" w:eastAsia="黑体"/>
          <w:bCs/>
          <w:kern w:val="0"/>
          <w:sz w:val="24"/>
          <w:szCs w:val="24"/>
        </w:rPr>
      </w:pPr>
    </w:p>
    <w:p>
      <w:pPr>
        <w:widowControl/>
        <w:jc w:val="left"/>
        <w:rPr>
          <w:rFonts w:ascii="黑体" w:hAnsi="宋体" w:eastAsia="黑体"/>
          <w:bCs/>
          <w:kern w:val="0"/>
          <w:sz w:val="24"/>
          <w:szCs w:val="24"/>
        </w:rPr>
      </w:pPr>
    </w:p>
    <w:p>
      <w:pPr>
        <w:widowControl/>
        <w:jc w:val="left"/>
        <w:rPr>
          <w:rFonts w:ascii="宋体" w:hAnsi="宋体"/>
          <w:b/>
          <w:bCs/>
          <w:kern w:val="0"/>
          <w:sz w:val="24"/>
          <w:szCs w:val="20"/>
        </w:rPr>
      </w:pPr>
      <w:r>
        <w:rPr>
          <w:rFonts w:ascii="宋体" w:hAnsi="宋体"/>
          <w:b/>
          <w:bCs/>
          <w:kern w:val="0"/>
          <w:sz w:val="24"/>
          <w:szCs w:val="20"/>
        </w:rPr>
        <w:br w:type="page"/>
      </w:r>
    </w:p>
    <w:p>
      <w:pPr>
        <w:jc w:val="center"/>
        <w:rPr>
          <w:rFonts w:ascii="宋体" w:hAnsi="宋体"/>
          <w:b/>
          <w:bCs/>
          <w:kern w:val="0"/>
          <w:sz w:val="24"/>
          <w:szCs w:val="20"/>
        </w:rPr>
      </w:pPr>
      <w:r>
        <w:rPr>
          <w:rFonts w:hint="eastAsia" w:ascii="宋体" w:hAnsi="宋体"/>
          <w:b/>
          <w:bCs/>
          <w:kern w:val="0"/>
          <w:sz w:val="24"/>
          <w:szCs w:val="20"/>
        </w:rPr>
        <w:t>第四章  合同及履约情况反馈格式</w:t>
      </w:r>
    </w:p>
    <w:p>
      <w:pPr>
        <w:ind w:firstLine="411" w:firstLineChars="196"/>
        <w:rPr>
          <w:rFonts w:ascii="Times New Roman" w:hAnsi="Times New Roman"/>
          <w:szCs w:val="24"/>
        </w:rPr>
      </w:pPr>
    </w:p>
    <w:p>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p>
    <w:p>
      <w:pPr>
        <w:ind w:firstLine="470" w:firstLineChars="196"/>
        <w:jc w:val="center"/>
        <w:rPr>
          <w:rFonts w:ascii="Times New Roman" w:hAnsi="Times New Roman"/>
          <w:sz w:val="24"/>
          <w:szCs w:val="24"/>
        </w:rPr>
      </w:pPr>
      <w:bookmarkStart w:id="16" w:name="_Toc73521680"/>
      <w:bookmarkStart w:id="17" w:name="_Toc101074886"/>
      <w:bookmarkStart w:id="18" w:name="_Toc73518163"/>
      <w:bookmarkStart w:id="19" w:name="_Toc73517685"/>
      <w:bookmarkStart w:id="20" w:name="_Toc73521592"/>
      <w:bookmarkStart w:id="21" w:name="_Toc100052414"/>
      <w:bookmarkStart w:id="22" w:name="_Toc84303603"/>
    </w:p>
    <w:p>
      <w:pPr>
        <w:ind w:firstLine="470" w:firstLineChars="196"/>
        <w:jc w:val="center"/>
        <w:rPr>
          <w:rFonts w:ascii="Times New Roman" w:hAnsi="Times New Roman"/>
          <w:sz w:val="24"/>
          <w:szCs w:val="24"/>
        </w:rPr>
      </w:pPr>
    </w:p>
    <w:bookmarkEnd w:id="16"/>
    <w:bookmarkEnd w:id="17"/>
    <w:bookmarkEnd w:id="18"/>
    <w:bookmarkEnd w:id="19"/>
    <w:bookmarkEnd w:id="20"/>
    <w:bookmarkEnd w:id="21"/>
    <w:bookmarkEnd w:id="22"/>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4"/>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adjustRightInd w:val="0"/>
        <w:snapToGrid w:val="0"/>
        <w:spacing w:line="360" w:lineRule="auto"/>
        <w:ind w:firstLine="422" w:firstLineChars="200"/>
        <w:rPr>
          <w:rFonts w:ascii="宋体" w:hAnsi="宋体"/>
          <w:b/>
          <w:bCs/>
          <w:szCs w:val="21"/>
        </w:rPr>
      </w:pPr>
    </w:p>
    <w:p>
      <w:pPr>
        <w:tabs>
          <w:tab w:val="left" w:pos="180"/>
        </w:tabs>
        <w:wordWrap w:val="0"/>
        <w:overflowPunct w:val="0"/>
        <w:autoSpaceDE w:val="0"/>
        <w:autoSpaceDN w:val="0"/>
        <w:adjustRightInd w:val="0"/>
        <w:snapToGrid w:val="0"/>
        <w:spacing w:line="300" w:lineRule="auto"/>
        <w:ind w:firstLine="3990" w:firstLineChars="1900"/>
        <w:rPr>
          <w:szCs w:val="21"/>
        </w:rPr>
      </w:pPr>
      <w:r>
        <w:rPr>
          <w:rFonts w:hint="eastAsia"/>
          <w:szCs w:val="21"/>
        </w:rPr>
        <w:t>合同编号（甲方）：</w:t>
      </w:r>
    </w:p>
    <w:p>
      <w:pPr>
        <w:tabs>
          <w:tab w:val="left" w:pos="180"/>
        </w:tabs>
        <w:wordWrap w:val="0"/>
        <w:overflowPunct w:val="0"/>
        <w:autoSpaceDE w:val="0"/>
        <w:autoSpaceDN w:val="0"/>
        <w:adjustRightInd w:val="0"/>
        <w:snapToGrid w:val="0"/>
        <w:spacing w:line="300" w:lineRule="auto"/>
        <w:jc w:val="center"/>
        <w:rPr>
          <w:rFonts w:ascii="宋体" w:hAnsi="宋体" w:cs="宋体"/>
          <w:kern w:val="0"/>
          <w:sz w:val="24"/>
          <w:szCs w:val="24"/>
        </w:rPr>
      </w:pPr>
      <w:r>
        <w:rPr>
          <w:rFonts w:hint="eastAsia"/>
          <w:szCs w:val="21"/>
        </w:rPr>
        <w:t xml:space="preserve">        合同编号（乙方）：</w:t>
      </w:r>
    </w:p>
    <w:p>
      <w:pPr>
        <w:widowControl/>
        <w:shd w:val="clear" w:color="auto" w:fill="FFFFFF"/>
        <w:spacing w:line="560" w:lineRule="exact"/>
        <w:ind w:firstLine="480" w:firstLineChars="200"/>
        <w:jc w:val="right"/>
        <w:rPr>
          <w:rFonts w:ascii="宋体" w:hAnsi="宋体" w:cs="宋体"/>
          <w:kern w:val="0"/>
          <w:sz w:val="24"/>
          <w:szCs w:val="24"/>
        </w:rPr>
      </w:pPr>
    </w:p>
    <w:p>
      <w:pPr>
        <w:widowControl/>
        <w:shd w:val="clear" w:color="auto" w:fill="FFFFFF"/>
        <w:spacing w:line="560" w:lineRule="exact"/>
        <w:ind w:firstLine="880" w:firstLineChars="200"/>
        <w:jc w:val="center"/>
        <w:rPr>
          <w:rFonts w:ascii="黑体" w:hAnsi="黑体" w:eastAsia="黑体" w:cs="宋体"/>
          <w:kern w:val="0"/>
          <w:sz w:val="44"/>
          <w:szCs w:val="44"/>
        </w:rPr>
      </w:pPr>
      <w:r>
        <w:rPr>
          <w:rFonts w:hint="eastAsia" w:ascii="黑体" w:hAnsi="黑体" w:eastAsia="黑体" w:cs="宋体"/>
          <w:kern w:val="0"/>
          <w:sz w:val="44"/>
          <w:szCs w:val="44"/>
        </w:rPr>
        <w:t>地铁</w:t>
      </w:r>
      <w:r>
        <w:rPr>
          <w:rFonts w:ascii="黑体" w:hAnsi="黑体" w:eastAsia="黑体" w:cs="宋体"/>
          <w:kern w:val="0"/>
          <w:sz w:val="44"/>
          <w:szCs w:val="44"/>
        </w:rPr>
        <w:t>***</w:t>
      </w:r>
      <w:r>
        <w:rPr>
          <w:rFonts w:hint="eastAsia" w:ascii="黑体" w:hAnsi="黑体" w:eastAsia="黑体" w:cs="宋体"/>
          <w:kern w:val="0"/>
          <w:sz w:val="44"/>
          <w:szCs w:val="44"/>
        </w:rPr>
        <w:t>警用通信系统运维项目合同</w:t>
      </w:r>
    </w:p>
    <w:p>
      <w:pPr>
        <w:widowControl/>
        <w:shd w:val="clear" w:color="auto" w:fill="FFFFFF"/>
        <w:spacing w:line="560" w:lineRule="exact"/>
        <w:ind w:firstLine="880" w:firstLineChars="200"/>
        <w:jc w:val="center"/>
        <w:rPr>
          <w:rFonts w:ascii="黑体" w:hAnsi="黑体" w:eastAsia="黑体" w:cs="宋体"/>
          <w:kern w:val="0"/>
          <w:sz w:val="44"/>
          <w:szCs w:val="44"/>
        </w:rPr>
      </w:pP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委托方（甲方）：深圳市公安局轨道交通分局</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通讯地址：深圳市福田区梅林路60号</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电话：0755-84449110</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传真：</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受托方（乙方）：</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通讯地址：</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电话：</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传真：</w:t>
      </w:r>
    </w:p>
    <w:p>
      <w:pPr>
        <w:widowControl/>
        <w:shd w:val="clear" w:color="auto" w:fill="FFFFFF"/>
        <w:spacing w:line="560" w:lineRule="exact"/>
        <w:ind w:firstLine="420" w:firstLineChars="200"/>
        <w:jc w:val="left"/>
        <w:rPr>
          <w:rFonts w:ascii="宋体" w:hAnsi="宋体" w:cs="宋体"/>
          <w:kern w:val="0"/>
          <w:szCs w:val="21"/>
        </w:rPr>
      </w:pPr>
      <w:r>
        <w:rPr>
          <w:rFonts w:hint="eastAsia" w:ascii="宋体" w:hAnsi="宋体" w:cs="宋体"/>
          <w:kern w:val="0"/>
          <w:szCs w:val="21"/>
        </w:rPr>
        <w:t>根据***招标项目的投标结果，</w:t>
      </w:r>
      <w:r>
        <w:rPr>
          <w:rFonts w:hint="eastAsia" w:ascii="宋体" w:hAnsi="宋体" w:cs="宋体"/>
          <w:kern w:val="0"/>
          <w:szCs w:val="21"/>
          <w:u w:val="single"/>
        </w:rPr>
        <w:t>***公司</w:t>
      </w:r>
      <w:r>
        <w:rPr>
          <w:rFonts w:hint="eastAsia" w:ascii="宋体" w:hAnsi="宋体" w:cs="宋体"/>
          <w:kern w:val="0"/>
          <w:szCs w:val="21"/>
        </w:rPr>
        <w:t>为中标方。按照《中华人民共和国民法典》和《深圳经济特区政府采购条例》，双方经过平等协商，在真实、充分地表达各自意愿的基础上，就地铁***警用通信系统运维项目达成如下协议，并由双方共同遵守。</w:t>
      </w:r>
    </w:p>
    <w:p>
      <w:pPr>
        <w:widowControl/>
        <w:shd w:val="clear" w:color="auto" w:fill="FFFFFF"/>
        <w:spacing w:line="520" w:lineRule="exact"/>
        <w:ind w:firstLine="422" w:firstLineChars="200"/>
        <w:jc w:val="left"/>
        <w:rPr>
          <w:rFonts w:ascii="宋体" w:hAnsi="宋体" w:cs="宋体"/>
          <w:b/>
          <w:kern w:val="0"/>
          <w:szCs w:val="21"/>
        </w:rPr>
      </w:pPr>
      <w:r>
        <w:rPr>
          <w:rFonts w:hint="eastAsia" w:ascii="宋体" w:hAnsi="宋体" w:cs="宋体"/>
          <w:b/>
          <w:kern w:val="0"/>
          <w:szCs w:val="21"/>
        </w:rPr>
        <w:t>第一条</w:t>
      </w:r>
      <w:r>
        <w:rPr>
          <w:rFonts w:hint="eastAsia" w:ascii="宋体" w:hAnsi="宋体" w:cs="宋体"/>
          <w:bCs/>
          <w:kern w:val="0"/>
          <w:szCs w:val="21"/>
        </w:rPr>
        <w:t>  甲方委托乙方进行维护服务的内容如下：</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1.维护服务的目标：确保地铁***警用通信系统7*24小时稳定运行，警用设备（包括监控视频摄像头、采集设备、有线网络等）在线率95%以上，无线系统可用率99%以上。</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2.维护服务的范围：***警用通信系统设备。***站点名称依次为：***；***站点名称依次为：***。</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3.维护服务的内容：***警用通信系统（主要包括警用有线通信系统、警用视频监控系统、警用无线通信系统等）。详细运维服务范围以本合同“附件1：地铁***警用通信系统运维项目详细运维服务范围”为准。</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4.维护服务的方式：乙方派出**名维护人员驻点甲方开展维护服务，提供7*24小时维保服务。驻点人员</w:t>
      </w:r>
      <w:r>
        <w:rPr>
          <w:rFonts w:hint="eastAsia" w:ascii="宋体" w:hAnsi="宋体" w:cs="宋体"/>
          <w:kern w:val="0"/>
          <w:szCs w:val="21"/>
          <w:lang w:eastAsia="zh-Hans"/>
        </w:rPr>
        <w:t>全部</w:t>
      </w:r>
      <w:r>
        <w:rPr>
          <w:rFonts w:hint="eastAsia" w:ascii="宋体" w:hAnsi="宋体" w:cs="宋体"/>
          <w:kern w:val="0"/>
          <w:szCs w:val="21"/>
        </w:rPr>
        <w:t>到岗日期为2024年  月  日。</w:t>
      </w:r>
    </w:p>
    <w:p>
      <w:pPr>
        <w:widowControl/>
        <w:shd w:val="clear" w:color="auto" w:fill="FFFFFF"/>
        <w:spacing w:line="520" w:lineRule="exact"/>
        <w:ind w:firstLine="422" w:firstLineChars="200"/>
        <w:jc w:val="left"/>
        <w:rPr>
          <w:rFonts w:ascii="宋体" w:hAnsi="宋体" w:cs="宋体"/>
          <w:b/>
          <w:kern w:val="0"/>
          <w:szCs w:val="21"/>
        </w:rPr>
      </w:pPr>
      <w:r>
        <w:rPr>
          <w:rFonts w:hint="eastAsia" w:ascii="宋体" w:hAnsi="宋体" w:cs="宋体"/>
          <w:b/>
          <w:kern w:val="0"/>
          <w:szCs w:val="21"/>
        </w:rPr>
        <w:t>第二条</w:t>
      </w:r>
      <w:r>
        <w:rPr>
          <w:rFonts w:hint="eastAsia" w:ascii="宋体" w:hAnsi="宋体" w:cs="宋体"/>
          <w:bCs/>
          <w:kern w:val="0"/>
          <w:szCs w:val="21"/>
        </w:rPr>
        <w:t>  乙方应按列要求完成维护服务工作：</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1.维护服务地点：深圳市。</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2.维护服务期限：一年，从2024年  月  日至2025年  月  日止。本项目服务期满后，甲方可根据乙方履约情况确定合同期限是否延长，但项目合同期限最长不得超过36个月，如履约、服务情况不满意的或者合同履行期间因违法行为被禁止参与政府采购活动或者存在其他重大违法记录的，则不再续约。</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3.维护服务质量要求：维护服务质量要求以</w:t>
      </w:r>
      <w:r>
        <w:rPr>
          <w:rFonts w:hint="eastAsia" w:ascii="宋体" w:hAnsi="宋体" w:cs="宋体"/>
          <w:kern w:val="0"/>
          <w:szCs w:val="21"/>
          <w:lang w:eastAsia="zh-Hans"/>
        </w:rPr>
        <w:t>本合同、</w:t>
      </w:r>
      <w:r>
        <w:rPr>
          <w:rFonts w:hint="eastAsia" w:ascii="宋体" w:hAnsi="宋体" w:cs="宋体"/>
          <w:kern w:val="0"/>
          <w:szCs w:val="21"/>
        </w:rPr>
        <w:t>招</w:t>
      </w:r>
      <w:r>
        <w:rPr>
          <w:rFonts w:hint="eastAsia" w:ascii="宋体" w:hAnsi="宋体" w:cs="宋体"/>
          <w:kern w:val="0"/>
          <w:szCs w:val="21"/>
          <w:lang w:eastAsia="zh-Hans"/>
        </w:rPr>
        <w:t>投</w:t>
      </w:r>
      <w:r>
        <w:rPr>
          <w:rFonts w:hint="eastAsia" w:ascii="宋体" w:hAnsi="宋体" w:cs="宋体"/>
          <w:kern w:val="0"/>
          <w:szCs w:val="21"/>
        </w:rPr>
        <w:t>标文件</w:t>
      </w:r>
      <w:r>
        <w:rPr>
          <w:rFonts w:hint="eastAsia" w:ascii="宋体" w:hAnsi="宋体" w:cs="宋体"/>
          <w:kern w:val="0"/>
          <w:szCs w:val="21"/>
          <w:lang w:eastAsia="zh-Hans"/>
        </w:rPr>
        <w:t>约定较高者</w:t>
      </w:r>
      <w:r>
        <w:rPr>
          <w:rFonts w:hint="eastAsia" w:ascii="宋体" w:hAnsi="宋体" w:cs="宋体"/>
          <w:kern w:val="0"/>
          <w:szCs w:val="21"/>
        </w:rPr>
        <w:t>为准。</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4.备品备件服务：乙方应根据合同运维清单中的设备提前采购相关常用及易耗型备品备件并存放至采购人指定仓库，保障系统和设备的正常运行，且所提供的备品备件技术参数不得低于现使用设备的技术参数指标。乙方如因未能及时提供备品备件更换造成本运维项目系统设备故障不能正常运行的，乙方将承担相应违约赔偿责任，发生第一次时乙方应向甲方支付合同总价款5%的违约金，发生第二次时乙方应向甲方支付合同总价款10%的违约金，发生第三次时乙方应向甲方支付合同总价款20%的违约金且甲方有权解除合同。</w:t>
      </w:r>
    </w:p>
    <w:p>
      <w:pPr>
        <w:widowControl/>
        <w:shd w:val="clear" w:color="auto" w:fill="FFFFFF"/>
        <w:spacing w:line="520" w:lineRule="exact"/>
        <w:ind w:firstLine="422" w:firstLineChars="200"/>
        <w:jc w:val="left"/>
        <w:rPr>
          <w:rFonts w:ascii="宋体" w:hAnsi="宋体" w:cs="宋体"/>
          <w:b/>
          <w:kern w:val="0"/>
          <w:szCs w:val="21"/>
        </w:rPr>
      </w:pPr>
      <w:r>
        <w:rPr>
          <w:rFonts w:hint="eastAsia" w:ascii="宋体" w:hAnsi="宋体" w:cs="宋体"/>
          <w:b/>
          <w:kern w:val="0"/>
          <w:szCs w:val="21"/>
        </w:rPr>
        <w:t>第三条</w:t>
      </w:r>
      <w:r>
        <w:rPr>
          <w:rFonts w:hint="eastAsia" w:ascii="宋体" w:hAnsi="宋体" w:cs="宋体"/>
          <w:bCs/>
          <w:kern w:val="0"/>
          <w:szCs w:val="21"/>
        </w:rPr>
        <w:t>  甲方向乙方支付维护费及支付方式为：</w:t>
      </w:r>
    </w:p>
    <w:p>
      <w:pPr>
        <w:widowControl/>
        <w:shd w:val="clear" w:color="auto" w:fill="FFFFFF"/>
        <w:spacing w:line="520" w:lineRule="exact"/>
        <w:ind w:firstLine="420" w:firstLineChars="200"/>
        <w:jc w:val="left"/>
        <w:rPr>
          <w:rFonts w:ascii="宋体" w:hAnsi="宋体" w:cs="宋体"/>
          <w:kern w:val="0"/>
          <w:szCs w:val="21"/>
          <w:lang w:eastAsia="zh-Hans"/>
        </w:rPr>
      </w:pPr>
      <w:r>
        <w:rPr>
          <w:rFonts w:hint="eastAsia" w:ascii="宋体" w:hAnsi="宋体" w:cs="宋体"/>
          <w:kern w:val="0"/>
          <w:szCs w:val="21"/>
        </w:rPr>
        <w:t>1.维护费总额（含税）：人民币</w:t>
      </w:r>
      <w:r>
        <w:rPr>
          <w:rFonts w:hint="eastAsia" w:ascii="宋体" w:hAnsi="宋体" w:cs="宋体"/>
          <w:b/>
          <w:bCs/>
          <w:kern w:val="0"/>
          <w:szCs w:val="21"/>
        </w:rPr>
        <w:t>（￥***元）</w:t>
      </w:r>
      <w:r>
        <w:rPr>
          <w:rFonts w:hint="eastAsia" w:ascii="宋体" w:hAnsi="宋体" w:cs="宋体"/>
          <w:kern w:val="0"/>
          <w:szCs w:val="21"/>
        </w:rPr>
        <w:t>。合同总金额</w:t>
      </w:r>
      <w:r>
        <w:rPr>
          <w:rFonts w:hint="eastAsia" w:ascii="宋体" w:hAnsi="宋体" w:cs="宋体"/>
          <w:kern w:val="0"/>
          <w:szCs w:val="21"/>
          <w:lang w:eastAsia="zh-Hans"/>
        </w:rPr>
        <w:t>为固定不变价格，</w:t>
      </w:r>
      <w:r>
        <w:rPr>
          <w:rFonts w:hint="eastAsia" w:ascii="宋体" w:hAnsi="宋体" w:cs="宋体"/>
          <w:kern w:val="0"/>
          <w:szCs w:val="21"/>
        </w:rPr>
        <w:t>包括乙方所提供的所有服务费用、技术费用、专家评审费用。</w:t>
      </w:r>
      <w:r>
        <w:rPr>
          <w:rFonts w:hint="eastAsia" w:ascii="宋体" w:hAnsi="宋体" w:cs="宋体"/>
          <w:kern w:val="0"/>
          <w:szCs w:val="21"/>
          <w:lang w:eastAsia="zh-Hans"/>
        </w:rPr>
        <w:t>甲方无需就本合同约定以外事项向乙方或乙方人员支付任何费用。</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2.乙方开户银行名称和账号为：</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（1）开户银行：</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（2）账号：</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3.维护费由甲方分期支付乙方，乙方在应付款项到期</w:t>
      </w:r>
      <w:r>
        <w:rPr>
          <w:rFonts w:hint="eastAsia" w:ascii="宋体" w:hAnsi="宋体" w:cs="宋体"/>
          <w:kern w:val="0"/>
          <w:szCs w:val="21"/>
          <w:lang w:eastAsia="zh-Hans"/>
        </w:rPr>
        <w:t>前7个工作日内</w:t>
      </w:r>
      <w:r>
        <w:rPr>
          <w:rFonts w:hint="eastAsia" w:ascii="宋体" w:hAnsi="宋体" w:cs="宋体"/>
          <w:kern w:val="0"/>
          <w:szCs w:val="21"/>
        </w:rPr>
        <w:t>提交等金额的</w:t>
      </w:r>
      <w:r>
        <w:rPr>
          <w:rFonts w:hint="eastAsia" w:ascii="宋体" w:hAnsi="宋体" w:cs="宋体"/>
          <w:kern w:val="0"/>
          <w:szCs w:val="21"/>
          <w:lang w:eastAsia="zh-Hans"/>
        </w:rPr>
        <w:t>正规合法</w:t>
      </w:r>
      <w:r>
        <w:rPr>
          <w:rFonts w:hint="eastAsia" w:ascii="宋体" w:hAnsi="宋体" w:cs="宋体"/>
          <w:kern w:val="0"/>
          <w:szCs w:val="21"/>
        </w:rPr>
        <w:t>发票，</w:t>
      </w:r>
      <w:r>
        <w:rPr>
          <w:rFonts w:hint="eastAsia" w:ascii="宋体" w:hAnsi="宋体" w:cs="宋体"/>
          <w:kern w:val="0"/>
          <w:szCs w:val="21"/>
          <w:lang w:eastAsia="zh-Hans"/>
        </w:rPr>
        <w:t>否则，甲方有权顺延付款期限</w:t>
      </w:r>
      <w:r>
        <w:rPr>
          <w:rFonts w:hint="eastAsia" w:ascii="宋体" w:hAnsi="宋体" w:cs="宋体"/>
          <w:kern w:val="0"/>
          <w:szCs w:val="21"/>
        </w:rPr>
        <w:t>。甲方按照相关程序提交财政支付申办手续即视为已履行支付义务，如因政府有关部门超期审批等原因造成甲方付款迟延的，不视为甲方违约。具体支付方式和时间如下：</w:t>
      </w:r>
    </w:p>
    <w:p>
      <w:pPr>
        <w:widowControl/>
        <w:shd w:val="clear" w:color="auto" w:fill="FFFFFF"/>
        <w:spacing w:line="520" w:lineRule="exact"/>
        <w:ind w:firstLine="420" w:firstLineChars="200"/>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1</w:t>
      </w:r>
      <w:r>
        <w:rPr>
          <w:rFonts w:hint="eastAsia" w:ascii="宋体" w:hAnsi="宋体" w:cs="宋体"/>
          <w:kern w:val="0"/>
          <w:szCs w:val="21"/>
          <w:lang w:eastAsia="zh-CN"/>
        </w:rPr>
        <w:t>）</w:t>
      </w:r>
      <w:r>
        <w:rPr>
          <w:rFonts w:hint="eastAsia" w:ascii="宋体" w:hAnsi="宋体" w:cs="宋体"/>
          <w:kern w:val="0"/>
          <w:szCs w:val="21"/>
        </w:rPr>
        <w:t>合同签订后，采购人向</w:t>
      </w:r>
      <w:r>
        <w:rPr>
          <w:rFonts w:hint="eastAsia" w:ascii="宋体" w:hAnsi="宋体" w:cs="宋体"/>
          <w:kern w:val="0"/>
          <w:szCs w:val="21"/>
          <w:lang w:val="en-US" w:eastAsia="zh-CN"/>
        </w:rPr>
        <w:t>中标人</w:t>
      </w:r>
      <w:r>
        <w:rPr>
          <w:rFonts w:hint="eastAsia" w:ascii="宋体" w:hAnsi="宋体" w:cs="宋体"/>
          <w:kern w:val="0"/>
          <w:szCs w:val="21"/>
        </w:rPr>
        <w:t>支付预付款（合同金额的</w:t>
      </w:r>
      <w:r>
        <w:rPr>
          <w:rFonts w:hint="eastAsia" w:ascii="宋体" w:hAnsi="宋体" w:cs="宋体"/>
          <w:kern w:val="0"/>
          <w:szCs w:val="21"/>
          <w:lang w:val="en-US" w:eastAsia="zh-CN"/>
        </w:rPr>
        <w:t>30</w:t>
      </w:r>
      <w:r>
        <w:rPr>
          <w:rFonts w:hint="eastAsia" w:ascii="宋体" w:hAnsi="宋体" w:cs="宋体"/>
          <w:kern w:val="0"/>
          <w:szCs w:val="21"/>
        </w:rPr>
        <w:t>%到70%</w:t>
      </w:r>
      <w:r>
        <w:rPr>
          <w:rFonts w:hint="eastAsia" w:ascii="宋体" w:hAnsi="宋体" w:cs="宋体"/>
          <w:kern w:val="0"/>
          <w:szCs w:val="21"/>
          <w:lang w:eastAsia="zh-CN"/>
        </w:rPr>
        <w:t>，对于资信状况良好、履约能力较强的中标</w:t>
      </w:r>
      <w:r>
        <w:rPr>
          <w:rFonts w:hint="eastAsia" w:ascii="宋体" w:hAnsi="宋体" w:cs="宋体"/>
          <w:kern w:val="0"/>
          <w:szCs w:val="21"/>
          <w:lang w:val="en-US" w:eastAsia="zh-CN"/>
        </w:rPr>
        <w:t>人</w:t>
      </w:r>
      <w:r>
        <w:rPr>
          <w:rFonts w:hint="eastAsia" w:ascii="宋体" w:hAnsi="宋体" w:cs="宋体"/>
          <w:kern w:val="0"/>
          <w:szCs w:val="21"/>
          <w:lang w:eastAsia="zh-CN"/>
        </w:rPr>
        <w:t>，可适当提高预付款比例，但最高不得超过合同金额的70%</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kern w:val="0"/>
          <w:szCs w:val="21"/>
        </w:rPr>
        <w:t>即人民币</w:t>
      </w:r>
      <w:r>
        <w:rPr>
          <w:rFonts w:hint="eastAsia" w:ascii="宋体" w:hAnsi="宋体" w:cs="宋体"/>
          <w:b/>
          <w:bCs/>
          <w:kern w:val="0"/>
          <w:szCs w:val="21"/>
        </w:rPr>
        <w:t>（￥***元）</w:t>
      </w:r>
      <w:r>
        <w:rPr>
          <w:rFonts w:hint="eastAsia" w:ascii="宋体" w:hAnsi="宋体" w:cs="宋体"/>
          <w:kern w:val="0"/>
          <w:szCs w:val="21"/>
        </w:rPr>
        <w:t>。</w:t>
      </w:r>
    </w:p>
    <w:p>
      <w:pPr>
        <w:widowControl/>
        <w:shd w:val="clear" w:color="auto" w:fill="FFFFFF"/>
        <w:spacing w:line="520" w:lineRule="exact"/>
        <w:ind w:firstLine="420" w:firstLineChars="200"/>
        <w:jc w:val="left"/>
        <w:rPr>
          <w:rFonts w:hint="eastAsia" w:ascii="宋体" w:hAnsi="宋体" w:cs="宋体"/>
          <w:kern w:val="0"/>
          <w:szCs w:val="21"/>
          <w:lang w:eastAsia="zh-CN"/>
        </w:rPr>
      </w:pPr>
      <w:r>
        <w:rPr>
          <w:rFonts w:hint="eastAsia" w:ascii="宋体" w:hAnsi="宋体" w:cs="宋体"/>
          <w:kern w:val="0"/>
          <w:szCs w:val="21"/>
          <w:lang w:eastAsia="zh-CN"/>
        </w:rPr>
        <w:t>（</w:t>
      </w:r>
      <w:r>
        <w:rPr>
          <w:rFonts w:hint="eastAsia" w:ascii="宋体" w:hAnsi="宋体" w:cs="宋体"/>
          <w:kern w:val="0"/>
          <w:szCs w:val="21"/>
          <w:lang w:val="en-US" w:eastAsia="zh-CN"/>
        </w:rPr>
        <w:t>2</w:t>
      </w:r>
      <w:r>
        <w:rPr>
          <w:rFonts w:hint="eastAsia" w:ascii="宋体" w:hAnsi="宋体" w:cs="宋体"/>
          <w:kern w:val="0"/>
          <w:szCs w:val="21"/>
          <w:lang w:eastAsia="zh-CN"/>
        </w:rPr>
        <w:t>）</w:t>
      </w:r>
      <w:r>
        <w:rPr>
          <w:rFonts w:hint="eastAsia" w:ascii="宋体" w:hAnsi="宋体" w:cs="宋体"/>
          <w:kern w:val="0"/>
          <w:szCs w:val="21"/>
        </w:rPr>
        <w:t>合同签订六个月后，采购人</w:t>
      </w:r>
      <w:r>
        <w:rPr>
          <w:rFonts w:hint="eastAsia" w:ascii="宋体" w:hAnsi="宋体" w:cs="宋体"/>
          <w:kern w:val="0"/>
          <w:szCs w:val="21"/>
          <w:lang w:val="en-US" w:eastAsia="zh-CN"/>
        </w:rPr>
        <w:t>向</w:t>
      </w:r>
      <w:r>
        <w:rPr>
          <w:rFonts w:hint="eastAsia" w:ascii="宋体" w:hAnsi="宋体" w:cs="宋体"/>
          <w:kern w:val="0"/>
          <w:szCs w:val="21"/>
        </w:rPr>
        <w:t>中标人</w:t>
      </w:r>
      <w:r>
        <w:rPr>
          <w:rFonts w:hint="eastAsia" w:ascii="宋体" w:hAnsi="宋体" w:cs="宋体"/>
          <w:kern w:val="0"/>
          <w:szCs w:val="21"/>
          <w:lang w:val="en-US" w:eastAsia="zh-CN"/>
        </w:rPr>
        <w:t>支付中期进度款</w:t>
      </w:r>
      <w:r>
        <w:rPr>
          <w:rFonts w:hint="eastAsia" w:ascii="宋体" w:hAnsi="宋体" w:cs="宋体"/>
          <w:kern w:val="0"/>
          <w:szCs w:val="21"/>
        </w:rPr>
        <w:t>（合同金额的</w:t>
      </w:r>
      <w:r>
        <w:rPr>
          <w:rFonts w:hint="eastAsia" w:ascii="宋体" w:hAnsi="宋体" w:cs="宋体"/>
          <w:kern w:val="0"/>
          <w:szCs w:val="21"/>
          <w:lang w:val="en-US" w:eastAsia="zh-CN"/>
        </w:rPr>
        <w:t>20</w:t>
      </w:r>
      <w:r>
        <w:rPr>
          <w:rFonts w:hint="eastAsia" w:ascii="宋体" w:hAnsi="宋体" w:cs="宋体"/>
          <w:kern w:val="0"/>
          <w:szCs w:val="21"/>
        </w:rPr>
        <w:t>%到</w:t>
      </w:r>
      <w:r>
        <w:rPr>
          <w:rFonts w:hint="eastAsia" w:ascii="宋体" w:hAnsi="宋体" w:cs="宋体"/>
          <w:kern w:val="0"/>
          <w:szCs w:val="21"/>
          <w:lang w:val="en-US" w:eastAsia="zh-CN"/>
        </w:rPr>
        <w:t>60</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kern w:val="0"/>
          <w:szCs w:val="21"/>
          <w:lang w:val="en-US" w:eastAsia="zh-CN"/>
        </w:rPr>
        <w:t>按已支付的预付款金额比例调整</w:t>
      </w:r>
      <w:r>
        <w:rPr>
          <w:rFonts w:hint="eastAsia" w:ascii="宋体" w:hAnsi="宋体" w:cs="宋体"/>
          <w:kern w:val="0"/>
          <w:szCs w:val="21"/>
          <w:lang w:eastAsia="zh-CN"/>
        </w:rPr>
        <w:t>），</w:t>
      </w:r>
      <w:r>
        <w:rPr>
          <w:rFonts w:hint="eastAsia" w:ascii="宋体" w:hAnsi="宋体" w:cs="宋体"/>
          <w:kern w:val="0"/>
          <w:szCs w:val="21"/>
        </w:rPr>
        <w:t>即人民币</w:t>
      </w:r>
      <w:r>
        <w:rPr>
          <w:rFonts w:hint="eastAsia" w:ascii="宋体" w:hAnsi="宋体" w:cs="宋体"/>
          <w:b/>
          <w:bCs/>
          <w:kern w:val="0"/>
          <w:szCs w:val="21"/>
        </w:rPr>
        <w:t>（￥***元）</w:t>
      </w:r>
      <w:r>
        <w:rPr>
          <w:rFonts w:hint="eastAsia" w:ascii="宋体" w:hAnsi="宋体" w:cs="宋体"/>
          <w:kern w:val="0"/>
          <w:szCs w:val="21"/>
          <w:lang w:eastAsia="zh-CN"/>
        </w:rPr>
        <w:t>。</w:t>
      </w:r>
    </w:p>
    <w:p>
      <w:pPr>
        <w:widowControl/>
        <w:shd w:val="clear" w:color="auto" w:fill="FFFFFF"/>
        <w:spacing w:line="520" w:lineRule="exact"/>
        <w:ind w:firstLine="420" w:firstLineChars="200"/>
        <w:jc w:val="left"/>
        <w:rPr>
          <w:rFonts w:hint="eastAsia" w:ascii="宋体" w:hAnsi="宋体" w:cs="宋体"/>
          <w:kern w:val="0"/>
          <w:szCs w:val="21"/>
          <w:lang w:val="en-US" w:eastAsia="zh-CN"/>
        </w:rPr>
      </w:pPr>
      <w:r>
        <w:rPr>
          <w:rFonts w:hint="eastAsia" w:ascii="宋体" w:hAnsi="宋体" w:cs="宋体"/>
          <w:kern w:val="0"/>
          <w:szCs w:val="21"/>
          <w:lang w:eastAsia="zh-CN"/>
        </w:rPr>
        <w:t>（</w:t>
      </w:r>
      <w:r>
        <w:rPr>
          <w:rFonts w:hint="eastAsia" w:ascii="宋体" w:hAnsi="宋体" w:cs="宋体"/>
          <w:kern w:val="0"/>
          <w:szCs w:val="21"/>
          <w:lang w:val="en-US" w:eastAsia="zh-CN"/>
        </w:rPr>
        <w:t>3</w:t>
      </w:r>
      <w:r>
        <w:rPr>
          <w:rFonts w:hint="eastAsia" w:ascii="宋体" w:hAnsi="宋体" w:cs="宋体"/>
          <w:kern w:val="0"/>
          <w:szCs w:val="21"/>
          <w:lang w:eastAsia="zh-CN"/>
        </w:rPr>
        <w:t>）</w:t>
      </w:r>
      <w:r>
        <w:rPr>
          <w:rFonts w:hint="eastAsia" w:ascii="宋体" w:hAnsi="宋体" w:cs="宋体"/>
          <w:kern w:val="0"/>
          <w:szCs w:val="21"/>
        </w:rPr>
        <w:t>合同服务期结束且经采购人验收合格后，采购人</w:t>
      </w:r>
      <w:r>
        <w:rPr>
          <w:rFonts w:hint="eastAsia" w:ascii="宋体" w:hAnsi="宋体" w:cs="宋体"/>
          <w:kern w:val="0"/>
          <w:szCs w:val="21"/>
          <w:lang w:val="en-US" w:eastAsia="zh-CN"/>
        </w:rPr>
        <w:t>向</w:t>
      </w:r>
      <w:r>
        <w:rPr>
          <w:rFonts w:hint="eastAsia" w:ascii="宋体" w:hAnsi="宋体" w:cs="宋体"/>
          <w:kern w:val="0"/>
          <w:szCs w:val="21"/>
        </w:rPr>
        <w:t>中标人</w:t>
      </w:r>
      <w:r>
        <w:rPr>
          <w:rFonts w:hint="eastAsia" w:ascii="宋体" w:hAnsi="宋体" w:cs="宋体"/>
          <w:kern w:val="0"/>
          <w:szCs w:val="21"/>
          <w:lang w:val="en-US" w:eastAsia="zh-CN"/>
        </w:rPr>
        <w:t>支付尾款（不少于</w:t>
      </w:r>
      <w:r>
        <w:rPr>
          <w:rFonts w:hint="eastAsia" w:ascii="宋体" w:hAnsi="宋体" w:cs="宋体"/>
          <w:kern w:val="0"/>
          <w:szCs w:val="21"/>
        </w:rPr>
        <w:t>合同金额的</w:t>
      </w:r>
      <w:r>
        <w:rPr>
          <w:rFonts w:hint="eastAsia" w:ascii="宋体" w:hAnsi="宋体" w:cs="宋体"/>
          <w:kern w:val="0"/>
          <w:szCs w:val="21"/>
          <w:lang w:val="en-US" w:eastAsia="zh-CN"/>
        </w:rPr>
        <w:t>10%），</w:t>
      </w:r>
      <w:r>
        <w:rPr>
          <w:rFonts w:hint="eastAsia" w:ascii="宋体" w:hAnsi="宋体" w:cs="宋体"/>
          <w:kern w:val="0"/>
          <w:szCs w:val="21"/>
        </w:rPr>
        <w:t>即人民币</w:t>
      </w:r>
      <w:r>
        <w:rPr>
          <w:rFonts w:hint="eastAsia" w:ascii="宋体" w:hAnsi="宋体" w:cs="宋体"/>
          <w:b/>
          <w:bCs/>
          <w:kern w:val="0"/>
          <w:szCs w:val="21"/>
        </w:rPr>
        <w:t>（￥***元）</w:t>
      </w:r>
      <w:r>
        <w:rPr>
          <w:rFonts w:hint="eastAsia" w:ascii="宋体" w:hAnsi="宋体" w:cs="宋体"/>
          <w:kern w:val="0"/>
          <w:szCs w:val="21"/>
          <w:lang w:val="en-US" w:eastAsia="zh-CN"/>
        </w:rPr>
        <w:t>。</w:t>
      </w:r>
    </w:p>
    <w:p>
      <w:pPr>
        <w:widowControl/>
        <w:shd w:val="clear" w:color="auto" w:fill="FFFFFF"/>
        <w:spacing w:line="520" w:lineRule="exact"/>
        <w:ind w:firstLine="420" w:firstLineChars="200"/>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4</w:t>
      </w:r>
      <w:r>
        <w:rPr>
          <w:rFonts w:hint="eastAsia" w:ascii="宋体" w:hAnsi="宋体" w:cs="宋体"/>
          <w:kern w:val="0"/>
          <w:szCs w:val="21"/>
          <w:lang w:eastAsia="zh-CN"/>
        </w:rPr>
        <w:t>）</w:t>
      </w:r>
      <w:r>
        <w:rPr>
          <w:rFonts w:hint="eastAsia" w:ascii="宋体" w:hAnsi="宋体" w:cs="宋体"/>
          <w:kern w:val="0"/>
          <w:szCs w:val="21"/>
        </w:rPr>
        <w:t>付款前，</w:t>
      </w:r>
      <w:r>
        <w:rPr>
          <w:rFonts w:hint="eastAsia" w:ascii="宋体" w:hAnsi="宋体" w:cs="宋体"/>
          <w:kern w:val="0"/>
          <w:szCs w:val="21"/>
          <w:lang w:val="en-US" w:eastAsia="zh-CN"/>
        </w:rPr>
        <w:t>中标人需</w:t>
      </w:r>
      <w:r>
        <w:rPr>
          <w:rFonts w:hint="eastAsia" w:ascii="宋体" w:hAnsi="宋体" w:cs="宋体"/>
          <w:kern w:val="0"/>
          <w:szCs w:val="21"/>
        </w:rPr>
        <w:t>开具符合国家规定的当次支付金额的全额发票给</w:t>
      </w:r>
      <w:r>
        <w:rPr>
          <w:rFonts w:hint="eastAsia" w:ascii="宋体" w:hAnsi="宋体" w:cs="宋体"/>
          <w:kern w:val="0"/>
          <w:szCs w:val="21"/>
          <w:lang w:val="en-US" w:eastAsia="zh-CN"/>
        </w:rPr>
        <w:t>采购人</w:t>
      </w:r>
      <w:r>
        <w:rPr>
          <w:rFonts w:hint="eastAsia" w:ascii="宋体" w:hAnsi="宋体" w:cs="宋体"/>
          <w:kern w:val="0"/>
          <w:szCs w:val="21"/>
        </w:rPr>
        <w:t>，</w:t>
      </w:r>
      <w:r>
        <w:rPr>
          <w:rFonts w:hint="eastAsia" w:ascii="宋体" w:hAnsi="宋体" w:cs="宋体"/>
          <w:kern w:val="0"/>
          <w:szCs w:val="21"/>
          <w:lang w:val="en-US" w:eastAsia="zh-CN"/>
        </w:rPr>
        <w:t>采购人15天内支付合同款项，</w:t>
      </w:r>
      <w:r>
        <w:rPr>
          <w:rFonts w:hint="eastAsia" w:ascii="宋体" w:hAnsi="宋体" w:cs="宋体"/>
          <w:kern w:val="0"/>
          <w:szCs w:val="21"/>
        </w:rPr>
        <w:t>否则</w:t>
      </w:r>
      <w:r>
        <w:rPr>
          <w:rFonts w:hint="eastAsia" w:ascii="宋体" w:hAnsi="宋体" w:cs="宋体"/>
          <w:kern w:val="0"/>
          <w:szCs w:val="21"/>
          <w:lang w:val="en-US" w:eastAsia="zh-CN"/>
        </w:rPr>
        <w:t>采购人</w:t>
      </w:r>
      <w:r>
        <w:rPr>
          <w:rFonts w:hint="eastAsia" w:ascii="宋体" w:hAnsi="宋体" w:cs="宋体"/>
          <w:kern w:val="0"/>
          <w:szCs w:val="21"/>
        </w:rPr>
        <w:t>有权拒绝付款。</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第四条</w:t>
      </w:r>
      <w:r>
        <w:rPr>
          <w:rFonts w:hint="eastAsia" w:ascii="宋体" w:hAnsi="宋体" w:cs="宋体"/>
          <w:kern w:val="0"/>
          <w:szCs w:val="21"/>
        </w:rPr>
        <w:t>  为保证乙方有效进行维护服务工作，甲方应当向乙方提供下列工作条件和协作事项：</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1.提供工作场所。</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2.协调办理施工证件。</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3.紧急情况下，协调进场抢修施工。</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第五条</w:t>
      </w:r>
      <w:r>
        <w:rPr>
          <w:rFonts w:hint="eastAsia" w:ascii="宋体" w:hAnsi="宋体" w:cs="宋体"/>
          <w:kern w:val="0"/>
          <w:szCs w:val="21"/>
        </w:rPr>
        <w:t>  乙方履行本合同</w:t>
      </w:r>
      <w:r>
        <w:rPr>
          <w:rFonts w:hint="eastAsia" w:ascii="宋体" w:hAnsi="宋体" w:cs="宋体"/>
          <w:kern w:val="0"/>
          <w:szCs w:val="21"/>
          <w:lang w:eastAsia="zh-Hans"/>
        </w:rPr>
        <w:t>过程中</w:t>
      </w:r>
      <w:r>
        <w:rPr>
          <w:rFonts w:hint="eastAsia" w:ascii="宋体" w:hAnsi="宋体" w:cs="宋体"/>
          <w:kern w:val="0"/>
          <w:szCs w:val="21"/>
        </w:rPr>
        <w:t>应遵守的保密义务如下：</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1.保密内容（包括技术信息和经营信息）：乙方维护人员在维保工作中接触的资料、配置及文件等。</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2.涉密人员范围：参与维护工作的全体人员。</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3.保密期限：</w:t>
      </w:r>
      <w:r>
        <w:rPr>
          <w:rFonts w:hint="eastAsia" w:ascii="宋体" w:hAnsi="宋体" w:cs="宋体"/>
          <w:kern w:val="0"/>
          <w:szCs w:val="21"/>
          <w:lang w:eastAsia="zh-Hans"/>
        </w:rPr>
        <w:t>永久，不受本合同变更、解除、终止所限制</w:t>
      </w:r>
      <w:r>
        <w:rPr>
          <w:rFonts w:hint="eastAsia" w:ascii="宋体" w:hAnsi="宋体" w:cs="宋体"/>
          <w:kern w:val="0"/>
          <w:szCs w:val="21"/>
        </w:rPr>
        <w:t>。</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4.泄密责任：甲方有权追偿乙方因泄密造成的一切损失，并追究相关人员的责任。</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 xml:space="preserve">第六条   </w:t>
      </w:r>
      <w:r>
        <w:rPr>
          <w:rFonts w:hint="eastAsia" w:ascii="宋体" w:hAnsi="宋体" w:cs="宋体"/>
          <w:kern w:val="0"/>
          <w:szCs w:val="21"/>
        </w:rPr>
        <w:t>保密及安全管理条款如下：</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1.</w:t>
      </w:r>
      <w:r>
        <w:rPr>
          <w:rFonts w:hint="eastAsia" w:ascii="宋体" w:hAnsi="宋体" w:cs="宋体"/>
          <w:szCs w:val="21"/>
        </w:rPr>
        <w:t xml:space="preserve"> </w:t>
      </w:r>
      <w:r>
        <w:rPr>
          <w:rFonts w:hint="eastAsia" w:ascii="宋体" w:hAnsi="宋体" w:cs="宋体"/>
          <w:kern w:val="0"/>
          <w:szCs w:val="21"/>
        </w:rPr>
        <w:t>乙方须严格遵守并执行《中华人民共和国保守国家秘密法》等法律法规和公安机关保密管理工作相关规定，保证不泄露在工作中所接触到的国家秘密和警务工作秘密。</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w:t>
      </w:r>
      <w:r>
        <w:rPr>
          <w:rFonts w:hint="eastAsia" w:ascii="宋体" w:hAnsi="宋体" w:cs="宋体"/>
          <w:szCs w:val="21"/>
        </w:rPr>
        <w:t xml:space="preserve"> </w:t>
      </w:r>
      <w:r>
        <w:rPr>
          <w:rFonts w:hint="eastAsia" w:ascii="宋体" w:hAnsi="宋体" w:cs="宋体"/>
          <w:kern w:val="0"/>
          <w:szCs w:val="21"/>
        </w:rPr>
        <w:t>乙方严格对在本项目日常工作中接触到的相关文件（包括电子文档、信息、会议、谈话等内容）进行保密管理，保证不以文件、文字、言论等任何形式通过任何媒体或者其他途径向外泄露、传播。</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3.</w:t>
      </w:r>
      <w:r>
        <w:rPr>
          <w:rFonts w:hint="eastAsia" w:ascii="宋体" w:hAnsi="宋体" w:cs="宋体"/>
          <w:szCs w:val="21"/>
        </w:rPr>
        <w:t xml:space="preserve"> </w:t>
      </w:r>
      <w:r>
        <w:rPr>
          <w:rFonts w:hint="eastAsia" w:ascii="宋体" w:hAnsi="宋体" w:cs="宋体"/>
          <w:kern w:val="0"/>
          <w:szCs w:val="21"/>
        </w:rPr>
        <w:t>乙方严格管理并监督本项目参与人员遵守法律法规和公安机关保密管理工作相关规定。项目实施前，对参与人员开展保密教育，并要求员工按照要求签订保密协议。</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4.</w:t>
      </w:r>
      <w:r>
        <w:rPr>
          <w:rFonts w:hint="eastAsia" w:ascii="宋体" w:hAnsi="宋体" w:cs="宋体"/>
          <w:szCs w:val="21"/>
        </w:rPr>
        <w:t xml:space="preserve"> </w:t>
      </w:r>
      <w:r>
        <w:rPr>
          <w:rFonts w:hint="eastAsia" w:ascii="宋体" w:hAnsi="宋体" w:cs="宋体"/>
          <w:kern w:val="0"/>
          <w:szCs w:val="21"/>
        </w:rPr>
        <w:t>乙方自觉接受并配合公安机关的监督和检查，严格执行有关部门安全整改要求，及时落实整改，同时形成常态化的自查自纠机制，及时发现和堵塞本单位人员泄露秘密的隐患和漏洞。</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5.</w:t>
      </w:r>
      <w:r>
        <w:rPr>
          <w:rFonts w:hint="eastAsia" w:ascii="宋体" w:hAnsi="宋体" w:cs="宋体"/>
          <w:szCs w:val="21"/>
        </w:rPr>
        <w:t xml:space="preserve"> </w:t>
      </w:r>
      <w:r>
        <w:rPr>
          <w:rFonts w:hint="eastAsia" w:ascii="宋体" w:hAnsi="宋体" w:cs="宋体"/>
          <w:kern w:val="0"/>
          <w:szCs w:val="21"/>
        </w:rPr>
        <w:t>乙方如未能遵守上述责任或者违反保密等相关法律规定，致使国家秘密或警务工作秘密泄露的，愿意接受甲方按照事件大小扣除项目服务费和履约保证金等费用，并承担相应法律责任，构成犯罪的，需承担相应的刑事责任。</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第七条</w:t>
      </w:r>
      <w:r>
        <w:rPr>
          <w:rFonts w:hint="eastAsia" w:ascii="宋体" w:hAnsi="宋体" w:cs="宋体"/>
          <w:kern w:val="0"/>
          <w:szCs w:val="21"/>
        </w:rPr>
        <w:t>  质量考核验收标准：甲方聘请专家对项目的保密工作、信息安全、安全生产、服务人数、服务质量（包括但不限于故障维护响应时间、故障处理时间、设备在线率等）、资料管理等进行履约评价，履约评价满分设100分，综合得分95（含）至100分的评定为优，85（含）至95分的为良，60（含）至85分的为中，60分以下的为差。</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甲方每半年对乙方履约情况进行考核，评定优、良、中、差四个等级，其中评定为良、中、差三个等级的，甲方有权分别扣除合同总价款的5%、10%、15%。在原合同剩余维护期，如乙方未能达到原合同约定的服务及考核要求，甲方有权要求乙方从已收取的合同款项中退回相应考核比例的款项。。</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第八条</w:t>
      </w:r>
      <w:r>
        <w:rPr>
          <w:rFonts w:hint="eastAsia" w:ascii="宋体" w:hAnsi="宋体" w:cs="宋体"/>
          <w:kern w:val="0"/>
          <w:szCs w:val="21"/>
        </w:rPr>
        <w:t>  本项目实行项目监理制，甲方另行聘请监理单位，由监理单位负责对项目运维质量和进度进行监督，乙方应承诺自觉接受和配合监理单位的监督。</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第九条</w:t>
      </w:r>
      <w:r>
        <w:rPr>
          <w:rFonts w:hint="eastAsia" w:ascii="宋体" w:hAnsi="宋体" w:cs="宋体"/>
          <w:kern w:val="0"/>
          <w:szCs w:val="21"/>
        </w:rPr>
        <w:t>  在本合同有效期内，乙方利用甲方提供的技术资料和工作条件所完成的新的技术成果归甲方所有。</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第十条</w:t>
      </w:r>
      <w:r>
        <w:rPr>
          <w:rFonts w:hint="eastAsia" w:ascii="宋体" w:hAnsi="宋体" w:cs="宋体"/>
          <w:kern w:val="0"/>
          <w:szCs w:val="21"/>
        </w:rPr>
        <w:t>  双方确定，按以下约定承担各自的违约责任：</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1.乙方在维保过程中违反深圳市地铁集团有限公司、港铁轨道交通（深圳）有限公司相关制度和施工要求，产生违约金、罚款或损失赔偿由乙方承担。</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2.在维保期间发生安全事故等造成的损失，由乙方负责修复设备，并支付赔偿等费用。</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3.乙方未能按规定时间完成有关工作的，每逾期一日，乙方应向甲方支付相当于服务费用总额 1‰的违约金。乙方逾期提供服务累计达 10天，甲方有权解除合同，同时乙方应向甲方支付</w:t>
      </w:r>
      <w:r>
        <w:rPr>
          <w:rFonts w:hint="eastAsia" w:ascii="宋体" w:hAnsi="宋体" w:cs="宋体"/>
          <w:kern w:val="0"/>
          <w:szCs w:val="21"/>
          <w:lang w:eastAsia="zh-Hans"/>
        </w:rPr>
        <w:t>合同价款总额</w:t>
      </w:r>
      <w:r>
        <w:rPr>
          <w:rFonts w:hint="eastAsia" w:ascii="宋体" w:hAnsi="宋体" w:cs="宋体"/>
          <w:kern w:val="0"/>
          <w:szCs w:val="21"/>
        </w:rPr>
        <w:t>5%的违约金。</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4</w:t>
      </w:r>
      <w:r>
        <w:rPr>
          <w:rFonts w:hint="eastAsia" w:ascii="宋体" w:hAnsi="宋体" w:cs="宋体"/>
          <w:kern w:val="0"/>
          <w:szCs w:val="21"/>
          <w:lang w:eastAsia="zh-Hans"/>
        </w:rPr>
        <w:t>.</w:t>
      </w:r>
      <w:r>
        <w:rPr>
          <w:rFonts w:hint="eastAsia" w:ascii="宋体" w:hAnsi="宋体" w:cs="宋体"/>
          <w:kern w:val="0"/>
          <w:szCs w:val="21"/>
        </w:rPr>
        <w:t>乙方提供的服务质量不符合约定或甲方要求的，甲方可以要求乙方整改，其费用由乙方承担。</w:t>
      </w:r>
      <w:r>
        <w:rPr>
          <w:rFonts w:hint="eastAsia" w:ascii="宋体" w:hAnsi="宋体" w:cs="宋体"/>
          <w:kern w:val="0"/>
          <w:szCs w:val="21"/>
          <w:lang w:eastAsia="zh-Hans"/>
        </w:rPr>
        <w:t>因后续整改工作导致乙方未能按规定时间完成的，乙方的违约责任参照第3款规定承担。</w:t>
      </w:r>
      <w:r>
        <w:rPr>
          <w:rFonts w:hint="eastAsia" w:ascii="宋体" w:hAnsi="宋体" w:cs="宋体"/>
          <w:kern w:val="0"/>
          <w:szCs w:val="21"/>
        </w:rPr>
        <w:t>累计提出整改要求达两次，乙方未能及时整改并达到本合同约定或甲方要求的服务标准的，甲方有权解除合同，同时乙方应向甲方支付相当于合同价款总额5%的违约金。</w:t>
      </w:r>
    </w:p>
    <w:p>
      <w:pPr>
        <w:widowControl/>
        <w:shd w:val="clear" w:color="auto" w:fill="FFFFFF"/>
        <w:spacing w:line="520" w:lineRule="exact"/>
        <w:ind w:firstLine="420" w:firstLineChars="200"/>
        <w:jc w:val="left"/>
        <w:rPr>
          <w:rFonts w:ascii="宋体" w:hAnsi="宋体" w:cs="宋体"/>
          <w:kern w:val="0"/>
          <w:szCs w:val="21"/>
          <w:lang w:eastAsia="zh-Hans"/>
        </w:rPr>
      </w:pPr>
      <w:r>
        <w:rPr>
          <w:rFonts w:hint="eastAsia" w:ascii="宋体" w:hAnsi="宋体" w:cs="宋体"/>
          <w:kern w:val="0"/>
          <w:szCs w:val="21"/>
          <w:lang w:eastAsia="zh-Hans"/>
        </w:rPr>
        <w:t>5.乙方驻点人员未能按期限全部到岗的，每逾期一天，应承担合同价款总额3‰的违约金；逾期超十五天的，甲方有权解除合同并要求乙方承担合同价款总额5%的违约金。</w:t>
      </w:r>
    </w:p>
    <w:p>
      <w:pPr>
        <w:spacing w:line="520" w:lineRule="exact"/>
        <w:ind w:firstLine="420" w:firstLineChars="200"/>
        <w:textAlignment w:val="baseline"/>
        <w:rPr>
          <w:rFonts w:ascii="宋体" w:hAnsi="宋体" w:cs="宋体"/>
          <w:kern w:val="0"/>
          <w:szCs w:val="21"/>
        </w:rPr>
      </w:pPr>
      <w:r>
        <w:rPr>
          <w:rFonts w:hint="eastAsia" w:ascii="宋体" w:hAnsi="宋体" w:cs="宋体"/>
          <w:kern w:val="0"/>
          <w:szCs w:val="21"/>
        </w:rPr>
        <w:t>6.因乙方怠于履行本合同项下的服务内容导致甲方需另行委托第三人履行的，由此产生的一切费用均由乙方承担，同时乙方应承担相当于合同价款总额5%的违约金。</w:t>
      </w:r>
    </w:p>
    <w:p>
      <w:pPr>
        <w:spacing w:line="520" w:lineRule="exact"/>
        <w:ind w:firstLine="420" w:firstLineChars="200"/>
        <w:textAlignment w:val="baseline"/>
        <w:rPr>
          <w:rFonts w:ascii="宋体" w:hAnsi="宋体" w:cs="宋体"/>
          <w:kern w:val="0"/>
          <w:szCs w:val="21"/>
        </w:rPr>
      </w:pPr>
      <w:r>
        <w:rPr>
          <w:rFonts w:hint="eastAsia" w:ascii="宋体" w:hAnsi="宋体" w:cs="宋体"/>
          <w:kern w:val="0"/>
          <w:szCs w:val="21"/>
        </w:rPr>
        <w:t>7.未经甲方书面同意，乙方不得将本合同项下全部或部分义务转让给任何第三人，否则甲方有权解除合同并要求乙方在返还所有已付合同款项的同时承担相当于合同价款总额5%的违约金。</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8.如乙方违反本合同保密条款的约定，乙方应向甲方支付相当于合同价款总额5%的违约金。</w:t>
      </w:r>
    </w:p>
    <w:p>
      <w:pPr>
        <w:widowControl/>
        <w:shd w:val="clear" w:color="auto" w:fill="FFFFFF"/>
        <w:spacing w:line="520" w:lineRule="exact"/>
        <w:ind w:firstLine="480"/>
        <w:jc w:val="left"/>
        <w:rPr>
          <w:rFonts w:ascii="宋体" w:hAnsi="宋体" w:cs="宋体"/>
          <w:kern w:val="0"/>
          <w:szCs w:val="21"/>
          <w:lang w:eastAsia="zh-Hans"/>
        </w:rPr>
      </w:pPr>
      <w:r>
        <w:rPr>
          <w:rFonts w:hint="eastAsia" w:ascii="宋体" w:hAnsi="宋体" w:cs="宋体"/>
          <w:kern w:val="0"/>
          <w:szCs w:val="21"/>
        </w:rPr>
        <w:t>9</w:t>
      </w:r>
      <w:r>
        <w:rPr>
          <w:rFonts w:hint="eastAsia" w:ascii="宋体" w:hAnsi="宋体" w:cs="宋体"/>
          <w:kern w:val="0"/>
          <w:szCs w:val="21"/>
          <w:lang w:eastAsia="zh-Hans"/>
        </w:rPr>
        <w:t>.乙方承诺，不得依据本合同所形成的法律关系，在对外公开业绩宣传、宣讲、展示活动中擅自使用甲方单位名称。如乙方确需使用，应事先向甲方提交书面申请，明确使用场合、受众范围、用途情况等必要事项，以及拟公开的相关书面稿件、图片等；未经甲方书面批准，禁止在上述活动中使用甲方单位名称，否则因此</w:t>
      </w:r>
      <w:r>
        <w:rPr>
          <w:rFonts w:hint="eastAsia" w:ascii="宋体" w:hAnsi="宋体" w:cs="宋体"/>
          <w:kern w:val="0"/>
          <w:szCs w:val="21"/>
        </w:rPr>
        <w:t>给</w:t>
      </w:r>
      <w:r>
        <w:rPr>
          <w:rFonts w:hint="eastAsia" w:ascii="宋体" w:hAnsi="宋体" w:cs="宋体"/>
          <w:kern w:val="0"/>
          <w:szCs w:val="21"/>
          <w:lang w:eastAsia="zh-Hans"/>
        </w:rPr>
        <w:t>甲</w:t>
      </w:r>
      <w:r>
        <w:rPr>
          <w:rFonts w:hint="eastAsia" w:ascii="宋体" w:hAnsi="宋体" w:cs="宋体"/>
          <w:kern w:val="0"/>
          <w:szCs w:val="21"/>
        </w:rPr>
        <w:t>方造成社会声誉不良影响或其他经济损失的，</w:t>
      </w:r>
      <w:r>
        <w:rPr>
          <w:rFonts w:hint="eastAsia" w:ascii="宋体" w:hAnsi="宋体" w:cs="宋体"/>
          <w:kern w:val="0"/>
          <w:szCs w:val="21"/>
          <w:lang w:eastAsia="zh-Hans"/>
        </w:rPr>
        <w:t>甲</w:t>
      </w:r>
      <w:r>
        <w:rPr>
          <w:rFonts w:hint="eastAsia" w:ascii="宋体" w:hAnsi="宋体" w:cs="宋体"/>
          <w:kern w:val="0"/>
          <w:szCs w:val="21"/>
        </w:rPr>
        <w:t>方有权单方解除合同并要求</w:t>
      </w:r>
      <w:r>
        <w:rPr>
          <w:rFonts w:hint="eastAsia" w:ascii="宋体" w:hAnsi="宋体" w:cs="宋体"/>
          <w:kern w:val="0"/>
          <w:szCs w:val="21"/>
          <w:lang w:eastAsia="zh-Hans"/>
        </w:rPr>
        <w:t>乙</w:t>
      </w:r>
      <w:r>
        <w:rPr>
          <w:rFonts w:hint="eastAsia" w:ascii="宋体" w:hAnsi="宋体" w:cs="宋体"/>
          <w:kern w:val="0"/>
          <w:szCs w:val="21"/>
        </w:rPr>
        <w:t>方承担合同价款总额5%的违约金</w:t>
      </w:r>
      <w:r>
        <w:rPr>
          <w:rFonts w:hint="eastAsia" w:ascii="宋体" w:hAnsi="宋体" w:cs="宋体"/>
          <w:kern w:val="0"/>
          <w:szCs w:val="21"/>
          <w:lang w:eastAsia="zh-Hans"/>
        </w:rPr>
        <w:t>和</w:t>
      </w:r>
      <w:r>
        <w:rPr>
          <w:rFonts w:hint="eastAsia" w:ascii="宋体" w:hAnsi="宋体" w:cs="宋体"/>
          <w:kern w:val="0"/>
          <w:szCs w:val="21"/>
        </w:rPr>
        <w:t>因此造成的经济损失，同时追究</w:t>
      </w:r>
      <w:r>
        <w:rPr>
          <w:rFonts w:hint="eastAsia" w:ascii="宋体" w:hAnsi="宋体" w:cs="宋体"/>
          <w:kern w:val="0"/>
          <w:szCs w:val="21"/>
          <w:lang w:eastAsia="zh-Hans"/>
        </w:rPr>
        <w:t>乙</w:t>
      </w:r>
      <w:r>
        <w:rPr>
          <w:rFonts w:hint="eastAsia" w:ascii="宋体" w:hAnsi="宋体" w:cs="宋体"/>
          <w:kern w:val="0"/>
          <w:szCs w:val="21"/>
        </w:rPr>
        <w:t>方的经济、法律责任。</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第十一条</w:t>
      </w:r>
      <w:r>
        <w:rPr>
          <w:rFonts w:hint="eastAsia" w:ascii="宋体" w:hAnsi="宋体" w:cs="宋体"/>
          <w:kern w:val="0"/>
          <w:szCs w:val="21"/>
        </w:rPr>
        <w:t>  双方确定，因发生不可抗力，致使本合同的履行成为不必要或不可能的，</w:t>
      </w:r>
      <w:r>
        <w:rPr>
          <w:rFonts w:hint="eastAsia" w:ascii="宋体" w:hAnsi="宋体" w:cs="宋体"/>
          <w:kern w:val="0"/>
          <w:szCs w:val="21"/>
          <w:lang w:eastAsia="zh-Hans"/>
        </w:rPr>
        <w:t>经协商</w:t>
      </w:r>
      <w:r>
        <w:rPr>
          <w:rFonts w:hint="eastAsia" w:ascii="宋体" w:hAnsi="宋体" w:cs="宋体"/>
          <w:kern w:val="0"/>
          <w:szCs w:val="21"/>
        </w:rPr>
        <w:t>可以解除本合同。</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第十二条</w:t>
      </w:r>
      <w:r>
        <w:rPr>
          <w:rFonts w:hint="eastAsia" w:ascii="宋体" w:hAnsi="宋体" w:cs="宋体"/>
          <w:kern w:val="0"/>
          <w:szCs w:val="21"/>
        </w:rPr>
        <w:t>  政府采购合同继续履行除损害国家利益和社会公共利益外，双方不得擅自变更、中止或者终止合同。</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第十三条</w:t>
      </w:r>
      <w:r>
        <w:rPr>
          <w:rFonts w:hint="eastAsia" w:ascii="宋体" w:hAnsi="宋体" w:cs="宋体"/>
          <w:kern w:val="0"/>
          <w:szCs w:val="21"/>
        </w:rPr>
        <w:t>  双方因履行本合同而发生的争议，应协商、调解解决。协商、调解不成的，依法向</w:t>
      </w:r>
      <w:r>
        <w:rPr>
          <w:rFonts w:hint="eastAsia" w:ascii="宋体" w:hAnsi="宋体" w:cs="宋体"/>
          <w:kern w:val="0"/>
          <w:szCs w:val="21"/>
          <w:lang w:eastAsia="zh-Hans"/>
        </w:rPr>
        <w:t>甲方所在地</w:t>
      </w:r>
      <w:r>
        <w:rPr>
          <w:rFonts w:hint="eastAsia" w:ascii="宋体" w:hAnsi="宋体" w:cs="宋体"/>
          <w:kern w:val="0"/>
          <w:szCs w:val="21"/>
        </w:rPr>
        <w:t>人民法院起诉。</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第十四条</w:t>
      </w:r>
      <w:r>
        <w:rPr>
          <w:rFonts w:hint="eastAsia" w:ascii="宋体" w:hAnsi="宋体" w:cs="宋体"/>
          <w:kern w:val="0"/>
          <w:szCs w:val="21"/>
        </w:rPr>
        <w:t>  本合同的变更必须由双方协商一致，并以书面形式确定。</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第十五条</w:t>
      </w:r>
      <w:r>
        <w:rPr>
          <w:rFonts w:hint="eastAsia" w:ascii="宋体" w:hAnsi="宋体" w:cs="宋体"/>
          <w:kern w:val="0"/>
          <w:szCs w:val="21"/>
        </w:rPr>
        <w:t>  本项目招标文件和投标文件作为本合同的组成部分，具有同等的法律效力。本合同实质性条款与招标文件、乙方投标文件如有抵触之处，以招投标文件为准，其余条款以文件生效时间在后的为准。</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第十六条</w:t>
      </w:r>
      <w:r>
        <w:rPr>
          <w:rFonts w:hint="eastAsia" w:ascii="宋体" w:hAnsi="宋体" w:cs="宋体"/>
          <w:kern w:val="0"/>
          <w:szCs w:val="21"/>
        </w:rPr>
        <w:t>  本合同一式陆份，双方各执叁份，具有同等的法律效力。</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rPr>
        <w:t>第十七条</w:t>
      </w:r>
      <w:r>
        <w:rPr>
          <w:rFonts w:hint="eastAsia" w:ascii="宋体" w:hAnsi="宋体" w:cs="宋体"/>
          <w:kern w:val="0"/>
          <w:szCs w:val="21"/>
        </w:rPr>
        <w:t>  本合同经双方法定代表人或者授权代表签字并盖公章后生效。</w:t>
      </w:r>
    </w:p>
    <w:p>
      <w:pPr>
        <w:widowControl/>
        <w:shd w:val="clear" w:color="auto" w:fill="FFFFFF"/>
        <w:spacing w:line="520" w:lineRule="exact"/>
        <w:ind w:firstLine="422" w:firstLineChars="200"/>
        <w:jc w:val="left"/>
        <w:rPr>
          <w:rFonts w:ascii="宋体" w:hAnsi="宋体" w:cs="宋体"/>
          <w:kern w:val="0"/>
          <w:szCs w:val="21"/>
        </w:rPr>
      </w:pPr>
      <w:r>
        <w:rPr>
          <w:rFonts w:hint="eastAsia" w:ascii="宋体" w:hAnsi="宋体" w:cs="宋体"/>
          <w:b/>
          <w:kern w:val="0"/>
          <w:szCs w:val="21"/>
          <w:lang w:eastAsia="zh-Hans"/>
        </w:rPr>
        <w:t>第十</w:t>
      </w:r>
      <w:r>
        <w:rPr>
          <w:rFonts w:hint="eastAsia" w:ascii="宋体" w:hAnsi="宋体" w:cs="宋体"/>
          <w:b/>
          <w:kern w:val="0"/>
          <w:szCs w:val="21"/>
        </w:rPr>
        <w:t>七</w:t>
      </w:r>
      <w:r>
        <w:rPr>
          <w:rFonts w:hint="eastAsia" w:ascii="宋体" w:hAnsi="宋体" w:cs="宋体"/>
          <w:b/>
          <w:kern w:val="0"/>
          <w:szCs w:val="21"/>
          <w:lang w:eastAsia="zh-Hans"/>
        </w:rPr>
        <w:t>条</w:t>
      </w:r>
      <w:r>
        <w:rPr>
          <w:rFonts w:hint="eastAsia" w:ascii="宋体" w:hAnsi="宋体" w:cs="宋体"/>
          <w:kern w:val="0"/>
          <w:szCs w:val="21"/>
          <w:lang w:eastAsia="zh-Hans"/>
        </w:rPr>
        <w:t xml:space="preserve">  </w:t>
      </w:r>
      <w:r>
        <w:rPr>
          <w:rFonts w:hint="eastAsia" w:ascii="宋体" w:hAnsi="宋体" w:cs="宋体"/>
          <w:kern w:val="0"/>
          <w:szCs w:val="21"/>
        </w:rPr>
        <w:t>双方确认位于</w:t>
      </w:r>
      <w:r>
        <w:rPr>
          <w:rFonts w:hint="eastAsia" w:ascii="宋体" w:hAnsi="宋体" w:cs="宋体"/>
          <w:kern w:val="0"/>
          <w:szCs w:val="21"/>
          <w:lang w:eastAsia="zh-Hans"/>
        </w:rPr>
        <w:t>合同首部</w:t>
      </w:r>
      <w:r>
        <w:rPr>
          <w:rFonts w:hint="eastAsia" w:ascii="宋体" w:hAnsi="宋体" w:cs="宋体"/>
          <w:kern w:val="0"/>
          <w:szCs w:val="21"/>
        </w:rPr>
        <w:t>的送达地址适用范围包括双方非诉时各类通知、协议等文件以及就合同发生纠纷时法律文书和相关文件的送达。任何一方送达地址需要变更时应当提前3日书面通知对方，未履行通知义务，该地址仍视为有效送达地址。</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【以下为合同签字页，无正文】</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甲方：深圳市公安局轨道交通分局（盖章）</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法定代表人/授权代表：（签名）</w:t>
      </w:r>
    </w:p>
    <w:p>
      <w:pPr>
        <w:widowControl/>
        <w:shd w:val="clear" w:color="auto" w:fill="FFFFFF"/>
        <w:spacing w:line="520" w:lineRule="exact"/>
        <w:ind w:firstLine="1470" w:firstLineChars="700"/>
        <w:jc w:val="left"/>
        <w:rPr>
          <w:rFonts w:ascii="宋体" w:hAnsi="宋体" w:cs="宋体"/>
          <w:kern w:val="0"/>
          <w:szCs w:val="21"/>
        </w:rPr>
      </w:pPr>
      <w:r>
        <w:rPr>
          <w:rFonts w:hint="eastAsia" w:ascii="宋体" w:hAnsi="宋体" w:cs="宋体"/>
          <w:kern w:val="0"/>
          <w:szCs w:val="21"/>
        </w:rPr>
        <w:t>年   月    日</w:t>
      </w:r>
    </w:p>
    <w:p>
      <w:pPr>
        <w:widowControl/>
        <w:shd w:val="clear" w:color="auto" w:fill="FFFFFF"/>
        <w:spacing w:line="520" w:lineRule="exact"/>
        <w:ind w:firstLine="420" w:firstLineChars="200"/>
        <w:jc w:val="left"/>
        <w:rPr>
          <w:rFonts w:ascii="宋体" w:hAnsi="宋体" w:cs="宋体"/>
          <w:kern w:val="0"/>
          <w:szCs w:val="21"/>
        </w:rPr>
      </w:pP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乙方：******公司（盖章）</w:t>
      </w:r>
    </w:p>
    <w:p>
      <w:pPr>
        <w:widowControl/>
        <w:shd w:val="clear" w:color="auto" w:fill="FFFFFF"/>
        <w:spacing w:line="520" w:lineRule="exact"/>
        <w:ind w:firstLine="420" w:firstLineChars="200"/>
        <w:jc w:val="left"/>
        <w:rPr>
          <w:rFonts w:ascii="宋体" w:hAnsi="宋体" w:cs="宋体"/>
          <w:kern w:val="0"/>
          <w:szCs w:val="21"/>
        </w:rPr>
      </w:pPr>
      <w:r>
        <w:rPr>
          <w:rFonts w:hint="eastAsia" w:ascii="宋体" w:hAnsi="宋体" w:cs="宋体"/>
          <w:kern w:val="0"/>
          <w:szCs w:val="21"/>
        </w:rPr>
        <w:t>法定代表人/授权代表： （签名）</w:t>
      </w:r>
    </w:p>
    <w:p>
      <w:pPr>
        <w:widowControl/>
        <w:shd w:val="clear" w:color="auto" w:fill="FFFFFF"/>
        <w:spacing w:line="520" w:lineRule="exact"/>
        <w:ind w:firstLine="1470" w:firstLineChars="700"/>
        <w:jc w:val="left"/>
        <w:rPr>
          <w:rFonts w:ascii="宋体" w:hAnsi="宋体" w:cs="宋体"/>
          <w:kern w:val="0"/>
          <w:szCs w:val="21"/>
        </w:rPr>
      </w:pPr>
      <w:r>
        <w:rPr>
          <w:rFonts w:hint="eastAsia" w:ascii="宋体" w:hAnsi="宋体" w:cs="宋体"/>
          <w:kern w:val="0"/>
          <w:szCs w:val="21"/>
        </w:rPr>
        <w:t>年   月    日</w:t>
      </w: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 w:val="24"/>
          <w:szCs w:val="24"/>
        </w:rPr>
      </w:pPr>
      <w:r>
        <w:rPr>
          <w:rFonts w:hint="eastAsia" w:ascii="宋体" w:hAnsi="宋体" w:cs="宋体"/>
          <w:kern w:val="0"/>
          <w:szCs w:val="21"/>
        </w:rPr>
        <w:t>附件1：地铁***警用通信系统运维项目详细运维服务范围</w:t>
      </w:r>
      <w:r>
        <w:rPr>
          <w:rFonts w:hint="eastAsia" w:ascii="宋体" w:hAnsi="宋体" w:cs="宋体"/>
          <w:b/>
          <w:bCs/>
          <w:szCs w:val="21"/>
        </w:rPr>
        <w:t>***</w:t>
      </w:r>
    </w:p>
    <w:p>
      <w:pPr>
        <w:ind w:firstLine="420" w:firstLineChars="200"/>
        <w:rPr>
          <w:rFonts w:ascii="宋体" w:hAnsi="宋体"/>
          <w:szCs w:val="21"/>
        </w:rPr>
      </w:pPr>
    </w:p>
    <w:p>
      <w:pPr>
        <w:ind w:firstLine="420" w:firstLineChars="200"/>
        <w:rPr>
          <w:rFonts w:ascii="宋体" w:hAnsi="宋体"/>
          <w:szCs w:val="21"/>
        </w:rPr>
      </w:pPr>
    </w:p>
    <w:p>
      <w:pPr>
        <w:widowControl/>
        <w:jc w:val="left"/>
        <w:rPr>
          <w:rFonts w:ascii="宋体" w:hAnsi="宋体"/>
          <w:b/>
          <w:szCs w:val="21"/>
        </w:rPr>
      </w:pPr>
      <w:r>
        <w:rPr>
          <w:bCs/>
          <w:szCs w:val="21"/>
        </w:rPr>
        <w:br w:type="page"/>
      </w:r>
    </w:p>
    <w:p>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pPr>
        <w:spacing w:line="240" w:lineRule="atLeast"/>
        <w:rPr>
          <w:rFonts w:ascii="宋体" w:hAnsi="宋体"/>
          <w:b/>
          <w:szCs w:val="21"/>
        </w:rPr>
      </w:pPr>
      <w:r>
        <w:rPr>
          <w:rFonts w:hint="eastAsia" w:ascii="宋体" w:hAnsi="宋体"/>
          <w:b/>
          <w:szCs w:val="21"/>
        </w:rPr>
        <w:t>采购人名称：                       联系人及电话：</w:t>
      </w:r>
    </w:p>
    <w:p>
      <w:pPr>
        <w:spacing w:line="60" w:lineRule="exact"/>
        <w:rPr>
          <w:rFonts w:ascii="宋体" w:hAnsi="宋体"/>
          <w:b/>
          <w:szCs w:val="21"/>
        </w:rPr>
      </w:pPr>
    </w:p>
    <w:tbl>
      <w:tblPr>
        <w:tblStyle w:val="43"/>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pPr>
              <w:spacing w:line="240" w:lineRule="atLeast"/>
              <w:jc w:val="center"/>
              <w:rPr>
                <w:rFonts w:ascii="宋体" w:hAnsi="宋体"/>
                <w:szCs w:val="21"/>
              </w:rPr>
            </w:pPr>
          </w:p>
        </w:tc>
        <w:tc>
          <w:tcPr>
            <w:tcW w:w="1980" w:type="dxa"/>
            <w:vAlign w:val="center"/>
          </w:tcPr>
          <w:p>
            <w:pPr>
              <w:spacing w:line="240" w:lineRule="atLeast"/>
              <w:jc w:val="center"/>
              <w:rPr>
                <w:rFonts w:ascii="宋体" w:hAnsi="宋体"/>
                <w:szCs w:val="21"/>
              </w:rPr>
            </w:pPr>
            <w:r>
              <w:rPr>
                <w:rFonts w:hint="eastAsia" w:ascii="宋体" w:hAnsi="宋体"/>
                <w:szCs w:val="21"/>
              </w:rPr>
              <w:t>项目编号</w:t>
            </w:r>
          </w:p>
        </w:tc>
        <w:tc>
          <w:tcPr>
            <w:tcW w:w="2135" w:type="dxa"/>
            <w:vAlign w:val="center"/>
          </w:tcPr>
          <w:p>
            <w:pPr>
              <w:spacing w:line="240" w:lineRule="atLeas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pPr>
              <w:spacing w:line="240" w:lineRule="atLeast"/>
              <w:jc w:val="center"/>
              <w:rPr>
                <w:rFonts w:ascii="宋体" w:hAnsi="宋体"/>
                <w:szCs w:val="21"/>
              </w:rPr>
            </w:pPr>
          </w:p>
        </w:tc>
        <w:tc>
          <w:tcPr>
            <w:tcW w:w="1980" w:type="dxa"/>
            <w:vAlign w:val="center"/>
          </w:tcPr>
          <w:p>
            <w:pPr>
              <w:spacing w:line="240" w:lineRule="atLeast"/>
              <w:jc w:val="center"/>
              <w:rPr>
                <w:rFonts w:ascii="宋体" w:hAnsi="宋体"/>
                <w:szCs w:val="21"/>
              </w:rPr>
            </w:pPr>
            <w:r>
              <w:rPr>
                <w:rFonts w:hint="eastAsia" w:ascii="宋体" w:hAnsi="宋体"/>
                <w:szCs w:val="21"/>
              </w:rPr>
              <w:t>供应商</w:t>
            </w:r>
          </w:p>
          <w:p>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pPr>
              <w:spacing w:line="240" w:lineRule="atLeas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pPr>
              <w:spacing w:line="240" w:lineRule="atLeast"/>
              <w:jc w:val="center"/>
              <w:rPr>
                <w:rFonts w:ascii="宋体" w:hAnsi="宋体"/>
                <w:szCs w:val="21"/>
              </w:rPr>
            </w:pPr>
            <w:r>
              <w:rPr>
                <w:rFonts w:hint="eastAsia" w:ascii="宋体" w:hAnsi="宋体"/>
                <w:szCs w:val="21"/>
              </w:rPr>
              <w:t>中标金额</w:t>
            </w:r>
          </w:p>
        </w:tc>
        <w:tc>
          <w:tcPr>
            <w:tcW w:w="2520" w:type="dxa"/>
            <w:vAlign w:val="center"/>
          </w:tcPr>
          <w:p>
            <w:pPr>
              <w:spacing w:line="240" w:lineRule="atLeast"/>
              <w:jc w:val="center"/>
              <w:rPr>
                <w:rFonts w:ascii="宋体" w:hAnsi="宋体"/>
                <w:szCs w:val="21"/>
              </w:rPr>
            </w:pPr>
          </w:p>
        </w:tc>
        <w:tc>
          <w:tcPr>
            <w:tcW w:w="1980" w:type="dxa"/>
            <w:vAlign w:val="center"/>
          </w:tcPr>
          <w:p>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pPr>
              <w:spacing w:line="240" w:lineRule="atLeast"/>
              <w:rPr>
                <w:rFonts w:ascii="宋体" w:hAnsi="宋体"/>
                <w:szCs w:val="21"/>
              </w:rPr>
            </w:pPr>
            <w:r>
              <w:rPr>
                <w:rFonts w:hint="eastAsia" w:ascii="宋体" w:hAnsi="宋体"/>
                <w:szCs w:val="21"/>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pPr>
              <w:spacing w:line="240" w:lineRule="atLeast"/>
              <w:ind w:firstLine="105" w:firstLineChars="50"/>
              <w:jc w:val="center"/>
              <w:rPr>
                <w:rFonts w:ascii="宋体" w:hAnsi="宋体"/>
                <w:szCs w:val="21"/>
              </w:rPr>
            </w:pPr>
            <w:r>
              <w:rPr>
                <w:rFonts w:hint="eastAsia" w:ascii="宋体" w:hAnsi="宋体"/>
                <w:szCs w:val="21"/>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pPr>
              <w:spacing w:line="240" w:lineRule="atLeast"/>
              <w:jc w:val="center"/>
              <w:rPr>
                <w:rFonts w:ascii="宋体" w:hAnsi="宋体"/>
                <w:szCs w:val="21"/>
              </w:rPr>
            </w:pPr>
          </w:p>
        </w:tc>
        <w:tc>
          <w:tcPr>
            <w:tcW w:w="720" w:type="dxa"/>
            <w:vMerge w:val="restart"/>
            <w:tcBorders>
              <w:right w:val="single" w:color="auto" w:sz="4" w:space="0"/>
            </w:tcBorders>
            <w:vAlign w:val="center"/>
          </w:tcPr>
          <w:p>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pPr>
              <w:spacing w:line="240" w:lineRule="atLeast"/>
              <w:jc w:val="center"/>
              <w:rPr>
                <w:rFonts w:ascii="宋体" w:hAnsi="宋体"/>
                <w:szCs w:val="21"/>
              </w:rPr>
            </w:pPr>
          </w:p>
        </w:tc>
        <w:tc>
          <w:tcPr>
            <w:tcW w:w="720" w:type="dxa"/>
            <w:vMerge w:val="continue"/>
            <w:tcBorders>
              <w:right w:val="single" w:color="auto" w:sz="4" w:space="0"/>
            </w:tcBorders>
            <w:vAlign w:val="center"/>
          </w:tcPr>
          <w:p>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pPr>
              <w:spacing w:line="240" w:lineRule="atLeast"/>
              <w:jc w:val="center"/>
              <w:rPr>
                <w:rFonts w:ascii="宋体" w:hAnsi="宋体"/>
                <w:szCs w:val="21"/>
              </w:rPr>
            </w:pPr>
          </w:p>
        </w:tc>
        <w:tc>
          <w:tcPr>
            <w:tcW w:w="720" w:type="dxa"/>
            <w:vMerge w:val="continue"/>
            <w:tcBorders>
              <w:right w:val="single" w:color="auto" w:sz="4" w:space="0"/>
            </w:tcBorders>
            <w:vAlign w:val="center"/>
          </w:tcPr>
          <w:p>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pPr>
              <w:spacing w:line="240" w:lineRule="atLeast"/>
              <w:jc w:val="center"/>
              <w:rPr>
                <w:rFonts w:ascii="宋体" w:hAnsi="宋体"/>
                <w:szCs w:val="21"/>
              </w:rPr>
            </w:pPr>
          </w:p>
        </w:tc>
        <w:tc>
          <w:tcPr>
            <w:tcW w:w="720" w:type="dxa"/>
            <w:vMerge w:val="continue"/>
            <w:tcBorders>
              <w:right w:val="single" w:color="auto" w:sz="4" w:space="0"/>
            </w:tcBorders>
            <w:vAlign w:val="center"/>
          </w:tcPr>
          <w:p>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pPr>
              <w:spacing w:line="240" w:lineRule="atLeast"/>
              <w:jc w:val="center"/>
              <w:rPr>
                <w:rFonts w:ascii="宋体" w:hAnsi="宋体"/>
                <w:szCs w:val="21"/>
              </w:rPr>
            </w:pPr>
          </w:p>
        </w:tc>
        <w:tc>
          <w:tcPr>
            <w:tcW w:w="720" w:type="dxa"/>
            <w:vMerge w:val="continue"/>
            <w:tcBorders>
              <w:right w:val="single" w:color="auto" w:sz="4" w:space="0"/>
            </w:tcBorders>
            <w:vAlign w:val="center"/>
          </w:tcPr>
          <w:p>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pPr>
              <w:spacing w:line="240" w:lineRule="atLeast"/>
              <w:jc w:val="center"/>
              <w:rPr>
                <w:rFonts w:ascii="宋体" w:hAnsi="宋体"/>
                <w:szCs w:val="21"/>
              </w:rPr>
            </w:pPr>
          </w:p>
        </w:tc>
        <w:tc>
          <w:tcPr>
            <w:tcW w:w="720" w:type="dxa"/>
            <w:vMerge w:val="continue"/>
            <w:tcBorders>
              <w:right w:val="single" w:color="auto" w:sz="4" w:space="0"/>
            </w:tcBorders>
            <w:vAlign w:val="center"/>
          </w:tcPr>
          <w:p>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pPr>
              <w:spacing w:before="156" w:beforeLines="50" w:after="156"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pPr>
              <w:spacing w:before="156" w:beforeLines="50" w:after="156" w:afterLines="50" w:line="240" w:lineRule="atLeast"/>
              <w:rPr>
                <w:rFonts w:ascii="宋体" w:hAnsi="宋体"/>
                <w:szCs w:val="21"/>
              </w:rPr>
            </w:pPr>
            <w:r>
              <w:rPr>
                <w:rFonts w:hint="eastAsia" w:ascii="宋体" w:hAnsi="宋体"/>
                <w:szCs w:val="21"/>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pPr>
              <w:spacing w:line="240" w:lineRule="atLeast"/>
              <w:jc w:val="center"/>
              <w:rPr>
                <w:rFonts w:ascii="宋体" w:hAnsi="宋体"/>
                <w:szCs w:val="21"/>
              </w:rPr>
            </w:pPr>
            <w:r>
              <w:rPr>
                <w:rFonts w:hint="eastAsia" w:ascii="宋体" w:hAnsi="宋体"/>
                <w:szCs w:val="21"/>
              </w:rPr>
              <w:t>采购人意见</w:t>
            </w:r>
          </w:p>
          <w:p>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pPr>
              <w:spacing w:line="240" w:lineRule="atLeast"/>
              <w:rPr>
                <w:rFonts w:ascii="宋体" w:hAnsi="宋体"/>
                <w:szCs w:val="21"/>
              </w:rPr>
            </w:pPr>
          </w:p>
          <w:p>
            <w:pPr>
              <w:spacing w:line="240" w:lineRule="atLeast"/>
              <w:rPr>
                <w:rFonts w:ascii="宋体" w:hAnsi="宋体"/>
                <w:szCs w:val="21"/>
              </w:rPr>
            </w:pPr>
            <w:r>
              <w:rPr>
                <w:rFonts w:hint="eastAsia" w:ascii="宋体" w:hAnsi="宋体"/>
                <w:szCs w:val="21"/>
              </w:rPr>
              <w:t xml:space="preserve">                                        </w:t>
            </w:r>
          </w:p>
          <w:p>
            <w:pPr>
              <w:spacing w:line="240" w:lineRule="atLeast"/>
              <w:ind w:firstLine="3780" w:firstLineChars="1800"/>
              <w:rPr>
                <w:rFonts w:ascii="宋体" w:hAnsi="宋体"/>
                <w:szCs w:val="21"/>
              </w:rPr>
            </w:pPr>
          </w:p>
          <w:p>
            <w:pPr>
              <w:spacing w:line="240" w:lineRule="atLeast"/>
              <w:ind w:firstLine="3780" w:firstLineChars="1800"/>
              <w:rPr>
                <w:rFonts w:ascii="宋体" w:hAnsi="宋体"/>
                <w:szCs w:val="21"/>
              </w:rPr>
            </w:pPr>
            <w:r>
              <w:rPr>
                <w:rFonts w:hint="eastAsia" w:ascii="宋体" w:hAnsi="宋体"/>
                <w:szCs w:val="21"/>
              </w:rPr>
              <w:t>日期：   年   月   日</w:t>
            </w:r>
          </w:p>
        </w:tc>
      </w:tr>
    </w:tbl>
    <w:p>
      <w:pPr>
        <w:spacing w:line="240" w:lineRule="atLeast"/>
        <w:rPr>
          <w:rFonts w:ascii="宋体" w:hAnsi="宋体"/>
          <w:szCs w:val="21"/>
        </w:rPr>
      </w:pPr>
      <w:r>
        <w:rPr>
          <w:rFonts w:hint="eastAsia" w:ascii="宋体" w:hAnsi="宋体"/>
          <w:szCs w:val="21"/>
        </w:rPr>
        <w:t>说明：</w:t>
      </w:r>
    </w:p>
    <w:p>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pPr>
        <w:spacing w:line="240" w:lineRule="atLeast"/>
        <w:rPr>
          <w:rFonts w:ascii="宋体" w:hAnsi="宋体"/>
          <w:szCs w:val="21"/>
        </w:rPr>
        <w:sectPr>
          <w:footerReference r:id="rId3" w:type="default"/>
          <w:pgSz w:w="11906" w:h="16838"/>
          <w:pgMar w:top="1440" w:right="1417" w:bottom="1440" w:left="1417" w:header="851" w:footer="992" w:gutter="0"/>
          <w:cols w:space="720" w:num="1"/>
          <w:titlePg/>
          <w:docGrid w:type="lines" w:linePitch="312" w:charSpace="0"/>
        </w:sectPr>
      </w:pPr>
    </w:p>
    <w:p>
      <w:pPr>
        <w:jc w:val="center"/>
        <w:rPr>
          <w:rFonts w:ascii="宋体" w:hAnsi="宋体"/>
          <w:b/>
          <w:bCs/>
          <w:kern w:val="0"/>
          <w:sz w:val="24"/>
          <w:szCs w:val="20"/>
        </w:rPr>
      </w:pPr>
      <w:r>
        <w:rPr>
          <w:rFonts w:hint="eastAsia" w:ascii="宋体" w:hAnsi="宋体"/>
          <w:b/>
          <w:bCs/>
          <w:kern w:val="0"/>
          <w:sz w:val="24"/>
          <w:szCs w:val="20"/>
        </w:rPr>
        <w:t>第五章  附件</w:t>
      </w:r>
    </w:p>
    <w:p>
      <w:pPr>
        <w:jc w:val="center"/>
        <w:rPr>
          <w:rFonts w:ascii="宋体" w:hAnsi="宋体"/>
          <w:b/>
          <w:bCs/>
          <w:kern w:val="0"/>
          <w:sz w:val="24"/>
          <w:szCs w:val="20"/>
        </w:rPr>
      </w:pPr>
    </w:p>
    <w:p>
      <w:pPr>
        <w:pStyle w:val="3"/>
        <w:spacing w:before="0" w:after="0"/>
        <w:jc w:val="center"/>
      </w:pPr>
      <w:bookmarkStart w:id="23" w:name="_Toc73610162"/>
      <w:bookmarkStart w:id="24" w:name="_Toc73613644"/>
      <w:r>
        <w:rPr>
          <w:rFonts w:hint="eastAsia"/>
        </w:rPr>
        <w:t>一、财政部 工业和信息化部关于印发《政府采购促进中小企业发展管理办法》的通知</w:t>
      </w:r>
      <w:bookmarkEnd w:id="23"/>
      <w:bookmarkEnd w:id="24"/>
    </w:p>
    <w:p>
      <w:pPr>
        <w:pStyle w:val="38"/>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pPr>
        <w:pStyle w:val="38"/>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pPr>
        <w:pStyle w:val="38"/>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pPr>
        <w:pStyle w:val="38"/>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pPr>
        <w:pStyle w:val="38"/>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pPr>
        <w:pStyle w:val="38"/>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pPr>
        <w:pStyle w:val="38"/>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pPr>
        <w:pStyle w:val="38"/>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pPr>
        <w:pStyle w:val="38"/>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pPr>
        <w:pStyle w:val="38"/>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pPr>
        <w:spacing w:line="360" w:lineRule="auto"/>
        <w:rPr>
          <w:rFonts w:asciiTheme="minorEastAsia" w:hAnsiTheme="minorEastAsia" w:eastAsiaTheme="minorEastAsia"/>
          <w:szCs w:val="21"/>
        </w:rPr>
      </w:pPr>
    </w:p>
    <w:p>
      <w:pPr>
        <w:pStyle w:val="3"/>
        <w:spacing w:before="0" w:after="0"/>
        <w:jc w:val="center"/>
      </w:pPr>
      <w:bookmarkStart w:id="25" w:name="_Toc73610163"/>
      <w:bookmarkStart w:id="26" w:name="_Toc73613645"/>
      <w:r>
        <w:rPr>
          <w:rFonts w:hint="eastAsia"/>
        </w:rPr>
        <w:t>二、关于印发中小企业划型标准规定的通知</w:t>
      </w:r>
      <w:bookmarkEnd w:id="25"/>
      <w:bookmarkEnd w:id="26"/>
    </w:p>
    <w:p>
      <w:pPr>
        <w:pStyle w:val="38"/>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pStyle w:val="38"/>
        <w:shd w:val="clear" w:color="auto" w:fill="FFFFFF"/>
        <w:spacing w:line="360" w:lineRule="auto"/>
        <w:jc w:val="right"/>
        <w:rPr>
          <w:rFonts w:asciiTheme="minorEastAsia" w:hAnsiTheme="minorEastAsia" w:eastAsiaTheme="minorEastAsia"/>
          <w:color w:val="000000"/>
          <w:sz w:val="21"/>
          <w:szCs w:val="21"/>
        </w:rPr>
      </w:pPr>
    </w:p>
    <w:p>
      <w:pPr>
        <w:pStyle w:val="38"/>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工业和信息化部　国家统计局</w:t>
      </w:r>
    </w:p>
    <w:p>
      <w:pPr>
        <w:pStyle w:val="38"/>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国家发展和改革委员会　财政部</w:t>
      </w:r>
    </w:p>
    <w:p>
      <w:pPr>
        <w:pStyle w:val="38"/>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二○一一年六月十八日</w:t>
      </w:r>
    </w:p>
    <w:p>
      <w:pPr>
        <w:pStyle w:val="38"/>
        <w:shd w:val="clear" w:color="auto" w:fill="FFFFFF"/>
        <w:spacing w:line="360" w:lineRule="auto"/>
        <w:jc w:val="center"/>
        <w:rPr>
          <w:rFonts w:asciiTheme="minorEastAsia" w:hAnsiTheme="minorEastAsia" w:eastAsiaTheme="minorEastAsia"/>
          <w:color w:val="000000"/>
          <w:sz w:val="21"/>
          <w:szCs w:val="21"/>
        </w:rPr>
      </w:pPr>
      <w:r>
        <w:rPr>
          <w:rStyle w:val="46"/>
          <w:rFonts w:hint="eastAsia" w:asciiTheme="minorEastAsia" w:hAnsiTheme="minorEastAsia" w:eastAsiaTheme="minorEastAsia"/>
          <w:color w:val="000000"/>
          <w:sz w:val="21"/>
          <w:szCs w:val="21"/>
        </w:rPr>
        <w:t>中小企业划型标准规定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四、各行业划型标准为：</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五、企业类型的划分以统计部门的统计数据为依据。</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九、本规定由工业和信息化部、国家统计局会同有关部门负责解释。</w:t>
      </w:r>
    </w:p>
    <w:p>
      <w:pPr>
        <w:pStyle w:val="38"/>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pPr>
        <w:pStyle w:val="38"/>
        <w:shd w:val="clear" w:color="auto" w:fill="FFFFFF"/>
        <w:spacing w:line="360" w:lineRule="auto"/>
        <w:rPr>
          <w:rFonts w:asciiTheme="minorEastAsia" w:hAnsiTheme="minorEastAsia" w:eastAsiaTheme="minorEastAsia"/>
          <w:color w:val="000000"/>
          <w:sz w:val="21"/>
          <w:szCs w:val="21"/>
        </w:rPr>
      </w:pPr>
    </w:p>
    <w:p>
      <w:pPr>
        <w:pStyle w:val="3"/>
        <w:spacing w:before="0" w:after="0"/>
        <w:jc w:val="center"/>
        <w:rPr>
          <w:rFonts w:asciiTheme="minorEastAsia" w:hAnsiTheme="minorEastAsia" w:eastAsiaTheme="minorEastAsia"/>
        </w:rPr>
      </w:pPr>
      <w:bookmarkStart w:id="27" w:name="_Toc73610164"/>
      <w:bookmarkStart w:id="28"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7"/>
      <w:bookmarkEnd w:id="28"/>
      <w:r>
        <w:rPr>
          <w:rFonts w:asciiTheme="minorEastAsia" w:hAnsiTheme="minorEastAsia" w:eastAsiaTheme="minorEastAsia"/>
          <w:bCs w:val="0"/>
        </w:rPr>
        <w:t> </w:t>
      </w: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3"/>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3"/>
        <w:spacing w:before="0" w:after="0"/>
        <w:jc w:val="center"/>
      </w:pPr>
      <w:bookmarkStart w:id="29" w:name="_Toc73610165"/>
      <w:bookmarkStart w:id="30" w:name="_Toc73613647"/>
      <w:r>
        <w:rPr>
          <w:rFonts w:hint="eastAsia"/>
        </w:rPr>
        <w:t>四、</w:t>
      </w:r>
      <w:r>
        <w:t>财政部 民政部 中国残疾人联合会关于促进残疾人就业 政府采购政策的通知</w:t>
      </w:r>
      <w:bookmarkEnd w:id="29"/>
      <w:bookmarkEnd w:id="30"/>
      <w:r>
        <w:t xml:space="preserve"> </w:t>
      </w:r>
    </w:p>
    <w:p>
      <w:pPr>
        <w:pStyle w:val="38"/>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pPr>
    </w:p>
    <w:p/>
    <w:p>
      <w:pPr>
        <w:pStyle w:val="3"/>
        <w:spacing w:before="0" w:after="0"/>
        <w:jc w:val="center"/>
      </w:pPr>
      <w:r>
        <w:rPr>
          <w:rFonts w:hint="eastAsia"/>
        </w:rPr>
        <w:t>五、财政部 司法部关于政府采购支持监狱企业发展有关问题的通知</w:t>
      </w:r>
      <w: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31" w:name="_Hlk72399513"/>
      <w:r>
        <w:rPr>
          <w:rFonts w:hint="eastAsia" w:asciiTheme="majorEastAsia" w:hAnsiTheme="majorEastAsia" w:eastAsiaTheme="majorEastAsia"/>
          <w:b/>
          <w:bCs/>
          <w:kern w:val="0"/>
          <w:sz w:val="28"/>
          <w:szCs w:val="28"/>
        </w:rPr>
        <w:t>总则</w:t>
      </w:r>
    </w:p>
    <w:bookmarkEnd w:id="31"/>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32" w:name="_Hlk72399729"/>
      <w:r>
        <w:rPr>
          <w:rFonts w:hint="eastAsia" w:asciiTheme="majorEastAsia" w:hAnsiTheme="majorEastAsia" w:eastAsiaTheme="majorEastAsia"/>
          <w:szCs w:val="21"/>
        </w:rPr>
        <w:t>如有需要，采购代理机构可以对通用条款的内容进行补充。</w:t>
      </w:r>
      <w:bookmarkEnd w:id="32"/>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33" w:name="_Hlk72398643"/>
      <w:r>
        <w:rPr>
          <w:rFonts w:hint="eastAsia" w:asciiTheme="majorEastAsia" w:hAnsiTheme="majorEastAsia" w:eastAsiaTheme="majorEastAsia"/>
          <w:b/>
          <w:bCs/>
          <w:szCs w:val="21"/>
        </w:rPr>
        <w:t>政府采购供应商责任</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4"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4"/>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33"/>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5" w:name="_Hlk72399819"/>
      <w:r>
        <w:rPr>
          <w:rFonts w:hint="eastAsia" w:asciiTheme="majorEastAsia" w:hAnsiTheme="majorEastAsia" w:eastAsiaTheme="majorEastAsia"/>
          <w:b/>
          <w:bCs/>
          <w:szCs w:val="21"/>
        </w:rPr>
        <w:t>招标文件的编制与组成</w:t>
      </w:r>
    </w:p>
    <w:p>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5"/>
    </w:p>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6" w:name="_Hlk72400236"/>
      <w:r>
        <w:rPr>
          <w:rFonts w:hint="eastAsia" w:asciiTheme="majorEastAsia" w:hAnsiTheme="majorEastAsia" w:eastAsiaTheme="majorEastAsia"/>
          <w:b/>
          <w:bCs/>
          <w:szCs w:val="21"/>
        </w:rPr>
        <w:t>投标文件的语言及度量单位</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6"/>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7" w:name="_Hlk72401567"/>
      <w:r>
        <w:rPr>
          <w:rFonts w:hint="eastAsia" w:asciiTheme="majorEastAsia" w:hAnsiTheme="majorEastAsia" w:eastAsiaTheme="majorEastAsia"/>
          <w:b/>
          <w:bCs/>
          <w:szCs w:val="21"/>
        </w:rPr>
        <w:t>投标文件的组成</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投标人提交的投标文件应毫无例外地使用招标文件所提供的相应格式</w:t>
      </w:r>
      <w:r>
        <w:rPr>
          <w:rFonts w:hint="eastAsia" w:asciiTheme="majorEastAsia" w:hAnsiTheme="majorEastAsia" w:eastAsiaTheme="majorEastAsia"/>
          <w:szCs w:val="21"/>
        </w:rPr>
        <w:t>（表格均可按同样格式扩展）。</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7"/>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8" w:name="_Hlk72401735"/>
      <w:r>
        <w:rPr>
          <w:rFonts w:hint="eastAsia" w:asciiTheme="majorEastAsia" w:hAnsiTheme="majorEastAsia" w:eastAsiaTheme="majorEastAsia"/>
          <w:b/>
          <w:bCs/>
          <w:szCs w:val="21"/>
        </w:rPr>
        <w:t>证明投标文件投标技术方案的合格性和符合招标文件规定的文件要求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8"/>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9" w:name="_Hlk72402034"/>
      <w:r>
        <w:rPr>
          <w:rFonts w:hint="eastAsia" w:asciiTheme="majorEastAsia" w:hAnsiTheme="majorEastAsia" w:eastAsiaTheme="majorEastAsia"/>
          <w:b/>
          <w:bCs/>
          <w:szCs w:val="21"/>
        </w:rPr>
        <w:t>投标文件其他证明文件的要求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40" w:name="_Hlk71407299"/>
    </w:p>
    <w:bookmarkEnd w:id="40"/>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9"/>
    <w:p>
      <w:pPr>
        <w:spacing w:line="360" w:lineRule="auto"/>
        <w:ind w:firstLine="411" w:firstLineChars="196"/>
        <w:rPr>
          <w:rFonts w:asciiTheme="majorEastAsia" w:hAnsiTheme="majorEastAsia" w:eastAsiaTheme="majorEastAsia"/>
          <w:szCs w:val="21"/>
        </w:rPr>
      </w:pPr>
      <w:bookmarkStart w:id="41"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41"/>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42" w:name="_Hlk72402325"/>
      <w:r>
        <w:rPr>
          <w:rFonts w:hint="eastAsia" w:asciiTheme="majorEastAsia" w:hAnsiTheme="majorEastAsia" w:eastAsiaTheme="majorEastAsia"/>
          <w:szCs w:val="21"/>
        </w:rPr>
        <w:t xml:space="preserve">关于投标保证金 </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42"/>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43"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43"/>
    </w:p>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4" w:name="_Hlk72405459"/>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4"/>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pPr>
        <w:spacing w:line="360" w:lineRule="auto"/>
        <w:rPr>
          <w:rFonts w:asciiTheme="majorEastAsia" w:hAnsiTheme="majorEastAsia" w:eastAsiaTheme="majorEastAsia"/>
          <w:b/>
          <w:bCs/>
          <w:szCs w:val="21"/>
        </w:rPr>
      </w:pPr>
      <w:bookmarkStart w:id="45"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5"/>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pPr>
        <w:spacing w:line="360" w:lineRule="auto"/>
        <w:ind w:firstLine="411" w:firstLineChars="196"/>
        <w:rPr>
          <w:rFonts w:asciiTheme="majorEastAsia" w:hAnsiTheme="majorEastAsia" w:eastAsiaTheme="majorEastAsia"/>
          <w:szCs w:val="21"/>
        </w:rPr>
      </w:pPr>
      <w:bookmarkStart w:id="46"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6"/>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pPr>
        <w:spacing w:line="360" w:lineRule="auto"/>
        <w:ind w:firstLine="411" w:firstLineChars="196"/>
        <w:rPr>
          <w:rFonts w:asciiTheme="majorEastAsia" w:hAnsiTheme="majorEastAsia" w:eastAsiaTheme="majorEastAsia"/>
          <w:szCs w:val="21"/>
        </w:rPr>
      </w:pPr>
      <w:bookmarkStart w:id="47"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7"/>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pPr>
        <w:spacing w:line="360" w:lineRule="auto"/>
        <w:rPr>
          <w:rFonts w:asciiTheme="majorEastAsia" w:hAnsiTheme="majorEastAsia" w:eastAsiaTheme="majorEastAsia"/>
          <w:b/>
          <w:bCs/>
          <w:szCs w:val="21"/>
        </w:rPr>
      </w:pPr>
      <w:bookmarkStart w:id="48" w:name="_Toc73521669"/>
      <w:bookmarkStart w:id="49" w:name="_Toc73521581"/>
      <w:bookmarkStart w:id="50" w:name="_Toc73518151"/>
      <w:bookmarkStart w:id="51" w:name="_Toc73517673"/>
      <w:bookmarkStart w:id="52" w:name="_Toc100052400"/>
      <w:r>
        <w:rPr>
          <w:rFonts w:hint="eastAsia" w:asciiTheme="majorEastAsia" w:hAnsiTheme="majorEastAsia" w:eastAsiaTheme="majorEastAsia"/>
          <w:b/>
          <w:bCs/>
          <w:szCs w:val="21"/>
        </w:rPr>
        <w:t>34．错误的修正</w:t>
      </w:r>
      <w:bookmarkEnd w:id="48"/>
      <w:bookmarkEnd w:id="49"/>
      <w:bookmarkEnd w:id="50"/>
      <w:bookmarkEnd w:id="51"/>
      <w:bookmarkEnd w:id="52"/>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34.5同时出现两种以上不一致的，按照前款规定的顺序修正。修正后的报价按照本通用条款33条的规定，经投标人确认后产生约束力，投标人不确认的，其投标无效。</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pPr>
        <w:spacing w:line="360" w:lineRule="auto"/>
        <w:ind w:firstLine="411" w:firstLineChars="196"/>
        <w:rPr>
          <w:rFonts w:asciiTheme="majorEastAsia" w:hAnsiTheme="majorEastAsia" w:eastAsiaTheme="majorEastAsia"/>
          <w:szCs w:val="21"/>
        </w:rPr>
      </w:pPr>
      <w:bookmarkStart w:id="53"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53"/>
    </w:p>
    <w:p>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pPr>
        <w:spacing w:line="360" w:lineRule="auto"/>
        <w:ind w:firstLine="411" w:firstLineChars="196"/>
        <w:rPr>
          <w:rFonts w:asciiTheme="majorEastAsia" w:hAnsiTheme="majorEastAsia" w:eastAsiaTheme="majorEastAsia"/>
          <w:szCs w:val="21"/>
        </w:rPr>
      </w:pPr>
      <w:bookmarkStart w:id="54" w:name="_Hlk73782795"/>
      <w:r>
        <w:rPr>
          <w:rFonts w:hint="eastAsia" w:asciiTheme="majorEastAsia" w:hAnsiTheme="majorEastAsia" w:eastAsiaTheme="majorEastAsia"/>
          <w:szCs w:val="21"/>
        </w:rPr>
        <w:t>38.1非评定分离项目定标方法</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5"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5"/>
      <w:r>
        <w:rPr>
          <w:rFonts w:asciiTheme="majorEastAsia" w:hAnsiTheme="majorEastAsia" w:eastAsiaTheme="majorEastAsia"/>
          <w:szCs w:val="21"/>
        </w:rPr>
        <w:t>）。</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6"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7"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6"/>
      <w:bookmarkEnd w:id="57"/>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4"/>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8"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8"/>
      <w:bookmarkStart w:id="59"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9"/>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60"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60"/>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pPr>
        <w:spacing w:line="360" w:lineRule="auto"/>
        <w:ind w:firstLine="411" w:firstLineChars="196"/>
        <w:rPr>
          <w:rFonts w:asciiTheme="majorEastAsia" w:hAnsiTheme="majorEastAsia" w:eastAsiaTheme="majorEastAsia"/>
          <w:szCs w:val="21"/>
        </w:rPr>
      </w:pPr>
      <w:bookmarkStart w:id="61"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41.4中标服务费</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中标服务费。中标服务费收费标准根据《深圳市财政委员会关于规范深圳市社会采购代理机构的管理有关事项的补充通知（深财购[2018]27号）》文件相关规定，按照差额定率累进法计算。具体收费标准详见下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mc:AlternateContent>
                <mc:Choice Requires="wps">
                  <w:drawing>
                    <wp:anchor distT="0" distB="0" distL="114300" distR="114300" simplePos="0" relativeHeight="251661312" behindDoc="0" locked="0" layoutInCell="0" allowOverlap="1">
                      <wp:simplePos x="0" y="0"/>
                      <wp:positionH relativeFrom="column">
                        <wp:posOffset>-19050</wp:posOffset>
                      </wp:positionH>
                      <wp:positionV relativeFrom="paragraph">
                        <wp:posOffset>436245</wp:posOffset>
                      </wp:positionV>
                      <wp:extent cx="1733550" cy="394335"/>
                      <wp:effectExtent l="0" t="0" r="0" b="0"/>
                      <wp:wrapNone/>
                      <wp:docPr id="7" name="直接连接符 7"/>
                      <wp:cNvGraphicFramePr/>
                      <a:graphic xmlns:a="http://schemas.openxmlformats.org/drawingml/2006/main">
                        <a:graphicData uri="http://schemas.microsoft.com/office/word/2010/wordprocessingShape">
                          <wps:wsp>
                            <wps:cNvCnPr/>
                            <wps:spPr>
                              <a:xfrm flipH="1" flipV="1">
                                <a:off x="0" y="0"/>
                                <a:ext cx="1771650" cy="5410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 y;margin-left:-1.5pt;margin-top:34.35pt;height:31.05pt;width:136.5pt;z-index:251661312;mso-width-relative:page;mso-height-relative:page;" filled="f" stroked="t"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fill on="f" focussize="0,0"/>
                      <v:stroke color="#000000" joinstyle="round"/>
                      <v:imagedata o:title=""/>
                      <o:lock v:ext="edit" aspectratio="f"/>
                    </v:line>
                  </w:pict>
                </mc:Fallback>
              </mc:AlternateContent>
            </w:r>
            <w:r>
              <w:rPr>
                <w:rFonts w:asciiTheme="majorEastAsia" w:hAnsiTheme="majorEastAsia" w:eastAsiaTheme="majorEastAsia"/>
                <w:szCs w:val="21"/>
              </w:rPr>
              <mc:AlternateContent>
                <mc:Choice Requires="wps">
                  <w:drawing>
                    <wp:anchor distT="0" distB="0" distL="114300" distR="114300" simplePos="0" relativeHeight="251660288" behindDoc="0" locked="0" layoutInCell="0" allowOverlap="1">
                      <wp:simplePos x="0" y="0"/>
                      <wp:positionH relativeFrom="column">
                        <wp:posOffset>392430</wp:posOffset>
                      </wp:positionH>
                      <wp:positionV relativeFrom="paragraph">
                        <wp:posOffset>31750</wp:posOffset>
                      </wp:positionV>
                      <wp:extent cx="1322070" cy="798830"/>
                      <wp:effectExtent l="0" t="0" r="0" b="0"/>
                      <wp:wrapNone/>
                      <wp:docPr id="6" name="直接连接符 6"/>
                      <wp:cNvGraphicFramePr/>
                      <a:graphic xmlns:a="http://schemas.openxmlformats.org/drawingml/2006/main">
                        <a:graphicData uri="http://schemas.microsoft.com/office/word/2010/wordprocessingShape">
                          <wps:wsp>
                            <wps:cNvCnPr/>
                            <wps:spPr>
                              <a:xfrm flipH="1" flipV="1">
                                <a:off x="0" y="0"/>
                                <a:ext cx="1215390" cy="8515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 y;margin-left:30.9pt;margin-top:2.5pt;height:62.9pt;width:104.1pt;z-index:251660288;mso-width-relative:page;mso-height-relative:page;" filled="f" stroked="t"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fill on="f" focussize="0,0"/>
                      <v:stroke color="#000000" joinstyle="round"/>
                      <v:imagedata o:title=""/>
                      <o:lock v:ext="edit" aspectratio="f"/>
                    </v:line>
                  </w:pict>
                </mc:Fallback>
              </mc:AlternateContent>
            </w:r>
            <w:r>
              <w:rPr>
                <w:rFonts w:asciiTheme="majorEastAsia" w:hAnsiTheme="majorEastAsia" w:eastAsiaTheme="majorEastAsia"/>
                <w:szCs w:val="21"/>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fill on="f" focussize="0,0"/>
                      <v:stroke color="#000000" joinstyle="round"/>
                      <v:imagedata o:title=""/>
                      <o:lock v:ext="edit" aspectratio="f"/>
                    </v:line>
                  </w:pict>
                </mc:Fallback>
              </mc:AlternateContent>
            </w:r>
            <w:r>
              <w:rPr>
                <w:rFonts w:hint="eastAsia" w:asciiTheme="majorEastAsia" w:hAnsiTheme="majorEastAsia" w:eastAsiaTheme="majorEastAsia"/>
                <w:b/>
                <w:szCs w:val="21"/>
              </w:rPr>
              <w:t>服务类型</w:t>
            </w:r>
          </w:p>
          <w:p>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pPr>
        <w:spacing w:line="360" w:lineRule="auto"/>
        <w:ind w:firstLine="411" w:firstLineChars="196"/>
        <w:rPr>
          <w:rFonts w:asciiTheme="majorEastAsia" w:hAnsiTheme="majorEastAsia" w:eastAsiaTheme="majorEastAsia"/>
          <w:szCs w:val="21"/>
        </w:rPr>
      </w:pPr>
    </w:p>
    <w:bookmarkEnd w:id="61"/>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62" w:name="_Hlk72439043"/>
      <w:r>
        <w:rPr>
          <w:rFonts w:hint="eastAsia" w:asciiTheme="majorEastAsia" w:hAnsiTheme="majorEastAsia" w:eastAsiaTheme="majorEastAsia"/>
          <w:b/>
          <w:bCs/>
          <w:kern w:val="0"/>
          <w:sz w:val="28"/>
          <w:szCs w:val="28"/>
        </w:rPr>
        <w:t>合同的授予与备案</w:t>
      </w:r>
      <w:bookmarkEnd w:id="62"/>
    </w:p>
    <w:p>
      <w:pPr>
        <w:spacing w:line="360" w:lineRule="auto"/>
        <w:rPr>
          <w:rFonts w:asciiTheme="majorEastAsia" w:hAnsiTheme="majorEastAsia" w:eastAsiaTheme="majorEastAsia"/>
          <w:b/>
          <w:bCs/>
          <w:szCs w:val="21"/>
        </w:rPr>
      </w:pPr>
      <w:bookmarkStart w:id="63" w:name="_Toc100052408"/>
      <w:bookmarkStart w:id="64" w:name="_Toc73521586"/>
      <w:bookmarkStart w:id="65" w:name="_Toc73517679"/>
      <w:bookmarkStart w:id="66" w:name="_Toc73521674"/>
      <w:bookmarkStart w:id="67" w:name="_Toc73518157"/>
      <w:bookmarkStart w:id="68" w:name="_Hlk72439088"/>
      <w:r>
        <w:rPr>
          <w:rFonts w:hint="eastAsia" w:asciiTheme="majorEastAsia" w:hAnsiTheme="majorEastAsia" w:eastAsiaTheme="majorEastAsia"/>
          <w:b/>
          <w:bCs/>
          <w:szCs w:val="21"/>
        </w:rPr>
        <w:t>43．合同授予标准</w:t>
      </w:r>
      <w:bookmarkEnd w:id="63"/>
      <w:bookmarkEnd w:id="64"/>
      <w:bookmarkEnd w:id="65"/>
      <w:bookmarkEnd w:id="66"/>
      <w:bookmarkEnd w:id="67"/>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pPr>
        <w:spacing w:line="360" w:lineRule="auto"/>
        <w:rPr>
          <w:rFonts w:asciiTheme="majorEastAsia" w:hAnsiTheme="majorEastAsia" w:eastAsiaTheme="majorEastAsia"/>
          <w:b/>
          <w:bCs/>
          <w:szCs w:val="21"/>
        </w:rPr>
      </w:pPr>
      <w:bookmarkStart w:id="69" w:name="_Toc100052409"/>
      <w:bookmarkStart w:id="70" w:name="_Toc73518158"/>
      <w:bookmarkStart w:id="71" w:name="_Toc73521587"/>
      <w:bookmarkStart w:id="72" w:name="_Toc73517680"/>
      <w:bookmarkStart w:id="73" w:name="_Toc73521675"/>
      <w:r>
        <w:rPr>
          <w:rFonts w:hint="eastAsia" w:asciiTheme="majorEastAsia" w:hAnsiTheme="majorEastAsia" w:eastAsiaTheme="majorEastAsia"/>
          <w:b/>
          <w:bCs/>
          <w:szCs w:val="21"/>
        </w:rPr>
        <w:t>44．</w:t>
      </w:r>
      <w:bookmarkEnd w:id="69"/>
      <w:bookmarkEnd w:id="70"/>
      <w:bookmarkEnd w:id="71"/>
      <w:bookmarkEnd w:id="72"/>
      <w:bookmarkEnd w:id="73"/>
      <w:r>
        <w:rPr>
          <w:rFonts w:hint="eastAsia" w:asciiTheme="majorEastAsia" w:hAnsiTheme="majorEastAsia" w:eastAsiaTheme="majorEastAsia"/>
          <w:b/>
          <w:bCs/>
          <w:szCs w:val="21"/>
        </w:rPr>
        <w:t>接受和拒绝任何或所有投标的权力</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pPr>
        <w:spacing w:line="360" w:lineRule="auto"/>
        <w:rPr>
          <w:rFonts w:asciiTheme="majorEastAsia" w:hAnsiTheme="majorEastAsia" w:eastAsiaTheme="majorEastAsia"/>
          <w:b/>
          <w:bCs/>
          <w:szCs w:val="21"/>
        </w:rPr>
      </w:pPr>
      <w:bookmarkStart w:id="74" w:name="_Toc100052410"/>
      <w:bookmarkStart w:id="75" w:name="_Toc73517682"/>
      <w:bookmarkStart w:id="76" w:name="_Toc73521589"/>
      <w:bookmarkStart w:id="77" w:name="_Toc73518160"/>
      <w:bookmarkStart w:id="78" w:name="_Toc73521677"/>
      <w:r>
        <w:rPr>
          <w:rFonts w:hint="eastAsia" w:asciiTheme="majorEastAsia" w:hAnsiTheme="majorEastAsia" w:eastAsiaTheme="majorEastAsia"/>
          <w:b/>
          <w:bCs/>
          <w:szCs w:val="21"/>
        </w:rPr>
        <w:t>45．合同的签订</w:t>
      </w:r>
      <w:bookmarkEnd w:id="74"/>
      <w:bookmarkEnd w:id="75"/>
      <w:bookmarkEnd w:id="76"/>
      <w:bookmarkEnd w:id="77"/>
      <w:bookmarkEnd w:id="78"/>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pPr>
        <w:spacing w:line="360" w:lineRule="auto"/>
        <w:rPr>
          <w:rFonts w:asciiTheme="majorEastAsia" w:hAnsiTheme="majorEastAsia" w:eastAsiaTheme="majorEastAsia"/>
          <w:b/>
          <w:bCs/>
          <w:szCs w:val="21"/>
        </w:rPr>
      </w:pPr>
      <w:bookmarkStart w:id="79" w:name="_Toc73518161"/>
      <w:bookmarkStart w:id="80" w:name="_Toc100052411"/>
      <w:bookmarkStart w:id="81" w:name="_Toc73517683"/>
      <w:bookmarkStart w:id="82" w:name="_Toc73521678"/>
      <w:bookmarkStart w:id="83" w:name="_Toc73521590"/>
      <w:r>
        <w:rPr>
          <w:rFonts w:hint="eastAsia" w:asciiTheme="majorEastAsia" w:hAnsiTheme="majorEastAsia" w:eastAsiaTheme="majorEastAsia"/>
          <w:b/>
          <w:bCs/>
          <w:szCs w:val="21"/>
        </w:rPr>
        <w:t>46．履约担保</w:t>
      </w:r>
      <w:bookmarkEnd w:id="79"/>
      <w:bookmarkEnd w:id="80"/>
      <w:bookmarkEnd w:id="81"/>
      <w:bookmarkEnd w:id="82"/>
      <w:bookmarkEnd w:id="83"/>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4" w:name="_Hlk72440769"/>
      <w:r>
        <w:rPr>
          <w:rFonts w:hint="eastAsia" w:asciiTheme="majorEastAsia" w:hAnsiTheme="majorEastAsia" w:eastAsiaTheme="majorEastAsia"/>
          <w:szCs w:val="21"/>
        </w:rPr>
        <w:t>采购人或采购代理机构</w:t>
      </w:r>
      <w:bookmarkEnd w:id="84"/>
      <w:r>
        <w:rPr>
          <w:rFonts w:hint="eastAsia" w:asciiTheme="majorEastAsia" w:hAnsiTheme="majorEastAsia" w:eastAsiaTheme="majorEastAsia"/>
          <w:szCs w:val="21"/>
        </w:rPr>
        <w:t>可将有关情况报同级财政部门，由财政部门根据实际情况记入供应商诚信档案，予以通报：</w:t>
      </w:r>
    </w:p>
    <w:p>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8"/>
    <w:p>
      <w:pPr>
        <w:keepNext/>
        <w:keepLines/>
        <w:widowControl/>
        <w:numPr>
          <w:ilvl w:val="0"/>
          <w:numId w:val="1"/>
        </w:numPr>
        <w:adjustRightInd w:val="0"/>
        <w:spacing w:before="156" w:beforeLines="50" w:after="156"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pPr>
        <w:spacing w:line="360" w:lineRule="auto"/>
        <w:rPr>
          <w:rFonts w:asciiTheme="majorEastAsia" w:hAnsiTheme="majorEastAsia" w:eastAsiaTheme="majorEastAsia"/>
          <w:b/>
          <w:bCs/>
          <w:szCs w:val="21"/>
        </w:rPr>
      </w:pPr>
      <w:bookmarkStart w:id="85" w:name="_Hlk72439706"/>
      <w:r>
        <w:rPr>
          <w:rFonts w:hint="eastAsia" w:asciiTheme="majorEastAsia" w:hAnsiTheme="majorEastAsia" w:eastAsiaTheme="majorEastAsia"/>
          <w:b/>
          <w:bCs/>
          <w:szCs w:val="21"/>
        </w:rPr>
        <w:t>52.质疑提出与答复</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6" w:name="_Hlk75374941"/>
      <w:r>
        <w:rPr>
          <w:rFonts w:hint="eastAsia" w:asciiTheme="majorEastAsia" w:hAnsiTheme="majorEastAsia" w:eastAsiaTheme="majorEastAsia"/>
          <w:szCs w:val="21"/>
        </w:rPr>
        <w:t>以联合体形式参与的，质疑应当由组成联合体的所有成员共同提出</w:t>
      </w:r>
      <w:bookmarkEnd w:id="86"/>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5"/>
    </w:p>
    <w:p>
      <w:pPr>
        <w:widowControl/>
        <w:jc w:val="left"/>
        <w:rPr>
          <w:rFonts w:ascii="宋体" w:hAnsi="宋体"/>
          <w:b/>
          <w:bCs/>
          <w:kern w:val="0"/>
          <w:sz w:val="24"/>
          <w:szCs w:val="20"/>
        </w:rPr>
      </w:pPr>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
    <w:altName w:val="微软雅黑"/>
    <w:panose1 w:val="00000000000000000000"/>
    <w:charset w:val="01"/>
    <w:family w:val="auto"/>
    <w:pitch w:val="default"/>
    <w:sig w:usb0="00000000" w:usb1="00000000" w:usb2="00000000"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pPr>
          <w:pStyle w:val="29"/>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2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iN2JjZGQwODQzNTVmMDg4ZGNmNzRhYmJlZDY2YTUifQ=="/>
  </w:docVars>
  <w:rsids>
    <w:rsidRoot w:val="00103A86"/>
    <w:rsid w:val="00000F5F"/>
    <w:rsid w:val="00001526"/>
    <w:rsid w:val="00002B3E"/>
    <w:rsid w:val="000051FB"/>
    <w:rsid w:val="00010CD3"/>
    <w:rsid w:val="00010EAF"/>
    <w:rsid w:val="00013F11"/>
    <w:rsid w:val="00014D2E"/>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6152"/>
    <w:rsid w:val="00057148"/>
    <w:rsid w:val="00072314"/>
    <w:rsid w:val="00072877"/>
    <w:rsid w:val="00076F21"/>
    <w:rsid w:val="00081E93"/>
    <w:rsid w:val="00083358"/>
    <w:rsid w:val="00084FFC"/>
    <w:rsid w:val="000878B9"/>
    <w:rsid w:val="00091185"/>
    <w:rsid w:val="00093911"/>
    <w:rsid w:val="00094626"/>
    <w:rsid w:val="0009519F"/>
    <w:rsid w:val="000A0AE2"/>
    <w:rsid w:val="000A1CCC"/>
    <w:rsid w:val="000A2EEF"/>
    <w:rsid w:val="000A7A39"/>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E1EAC"/>
    <w:rsid w:val="000F345B"/>
    <w:rsid w:val="000F37FF"/>
    <w:rsid w:val="000F3E6E"/>
    <w:rsid w:val="000F4129"/>
    <w:rsid w:val="000F5B06"/>
    <w:rsid w:val="000F5ECB"/>
    <w:rsid w:val="000F6BC0"/>
    <w:rsid w:val="000F74E0"/>
    <w:rsid w:val="000F7A75"/>
    <w:rsid w:val="000F7F8C"/>
    <w:rsid w:val="00100E4E"/>
    <w:rsid w:val="00101F69"/>
    <w:rsid w:val="00103A86"/>
    <w:rsid w:val="00105734"/>
    <w:rsid w:val="001069FB"/>
    <w:rsid w:val="00112114"/>
    <w:rsid w:val="001207E9"/>
    <w:rsid w:val="00123879"/>
    <w:rsid w:val="00123D47"/>
    <w:rsid w:val="00124153"/>
    <w:rsid w:val="00127F85"/>
    <w:rsid w:val="00132093"/>
    <w:rsid w:val="00135F8D"/>
    <w:rsid w:val="00136086"/>
    <w:rsid w:val="0013643E"/>
    <w:rsid w:val="0013763C"/>
    <w:rsid w:val="0014134B"/>
    <w:rsid w:val="001429E4"/>
    <w:rsid w:val="001434C4"/>
    <w:rsid w:val="00144AF1"/>
    <w:rsid w:val="00144C0F"/>
    <w:rsid w:val="00146B6B"/>
    <w:rsid w:val="00154E01"/>
    <w:rsid w:val="0016001B"/>
    <w:rsid w:val="00161B46"/>
    <w:rsid w:val="00162A02"/>
    <w:rsid w:val="0016401E"/>
    <w:rsid w:val="00164645"/>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2FA2"/>
    <w:rsid w:val="00195091"/>
    <w:rsid w:val="001A4688"/>
    <w:rsid w:val="001A6235"/>
    <w:rsid w:val="001A7B97"/>
    <w:rsid w:val="001A7E9F"/>
    <w:rsid w:val="001B182A"/>
    <w:rsid w:val="001B23DF"/>
    <w:rsid w:val="001B3E1A"/>
    <w:rsid w:val="001B78B8"/>
    <w:rsid w:val="001B792B"/>
    <w:rsid w:val="001C2A95"/>
    <w:rsid w:val="001C3BC1"/>
    <w:rsid w:val="001D297A"/>
    <w:rsid w:val="001D532C"/>
    <w:rsid w:val="001E021F"/>
    <w:rsid w:val="001E63A6"/>
    <w:rsid w:val="001E670C"/>
    <w:rsid w:val="001E7EC4"/>
    <w:rsid w:val="001F2756"/>
    <w:rsid w:val="001F5DBD"/>
    <w:rsid w:val="001F646F"/>
    <w:rsid w:val="001F7F91"/>
    <w:rsid w:val="00200342"/>
    <w:rsid w:val="00201237"/>
    <w:rsid w:val="00202335"/>
    <w:rsid w:val="002034C2"/>
    <w:rsid w:val="00206F1A"/>
    <w:rsid w:val="002074CD"/>
    <w:rsid w:val="00207627"/>
    <w:rsid w:val="002108E8"/>
    <w:rsid w:val="002135F8"/>
    <w:rsid w:val="00217A36"/>
    <w:rsid w:val="00217B3F"/>
    <w:rsid w:val="00220C5E"/>
    <w:rsid w:val="00222612"/>
    <w:rsid w:val="002300CF"/>
    <w:rsid w:val="002316B0"/>
    <w:rsid w:val="00231DCF"/>
    <w:rsid w:val="00231FB6"/>
    <w:rsid w:val="002354A2"/>
    <w:rsid w:val="002418AD"/>
    <w:rsid w:val="00241C2F"/>
    <w:rsid w:val="00243E8A"/>
    <w:rsid w:val="0024433A"/>
    <w:rsid w:val="002452F6"/>
    <w:rsid w:val="002477F6"/>
    <w:rsid w:val="00247934"/>
    <w:rsid w:val="00252837"/>
    <w:rsid w:val="002531A5"/>
    <w:rsid w:val="002606E7"/>
    <w:rsid w:val="00260C60"/>
    <w:rsid w:val="002629C0"/>
    <w:rsid w:val="002638FE"/>
    <w:rsid w:val="002652B4"/>
    <w:rsid w:val="00265F79"/>
    <w:rsid w:val="00267FC8"/>
    <w:rsid w:val="00270871"/>
    <w:rsid w:val="0027121B"/>
    <w:rsid w:val="0027312A"/>
    <w:rsid w:val="00273D6B"/>
    <w:rsid w:val="002753A8"/>
    <w:rsid w:val="0028241E"/>
    <w:rsid w:val="002867E0"/>
    <w:rsid w:val="00287E9E"/>
    <w:rsid w:val="00287F91"/>
    <w:rsid w:val="00291B1B"/>
    <w:rsid w:val="00291D1C"/>
    <w:rsid w:val="002934B9"/>
    <w:rsid w:val="00293AB2"/>
    <w:rsid w:val="00294F5F"/>
    <w:rsid w:val="002952BC"/>
    <w:rsid w:val="0029679A"/>
    <w:rsid w:val="002968EA"/>
    <w:rsid w:val="002A19D6"/>
    <w:rsid w:val="002A1C9A"/>
    <w:rsid w:val="002A6A8D"/>
    <w:rsid w:val="002A73B4"/>
    <w:rsid w:val="002A7F40"/>
    <w:rsid w:val="002B162C"/>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3119"/>
    <w:rsid w:val="002E424C"/>
    <w:rsid w:val="002E665D"/>
    <w:rsid w:val="002E6858"/>
    <w:rsid w:val="002E6BA0"/>
    <w:rsid w:val="002E737B"/>
    <w:rsid w:val="002F01F4"/>
    <w:rsid w:val="002F3C22"/>
    <w:rsid w:val="002F6879"/>
    <w:rsid w:val="002F7C97"/>
    <w:rsid w:val="0030199B"/>
    <w:rsid w:val="003134D0"/>
    <w:rsid w:val="0031455C"/>
    <w:rsid w:val="00315CA6"/>
    <w:rsid w:val="0032060F"/>
    <w:rsid w:val="0032136F"/>
    <w:rsid w:val="0032158E"/>
    <w:rsid w:val="00321C26"/>
    <w:rsid w:val="00321D49"/>
    <w:rsid w:val="00323BF8"/>
    <w:rsid w:val="003274C9"/>
    <w:rsid w:val="00334DFC"/>
    <w:rsid w:val="00335B69"/>
    <w:rsid w:val="00335E1F"/>
    <w:rsid w:val="00340269"/>
    <w:rsid w:val="00341462"/>
    <w:rsid w:val="00343D25"/>
    <w:rsid w:val="0034602D"/>
    <w:rsid w:val="0034731C"/>
    <w:rsid w:val="00350D9C"/>
    <w:rsid w:val="00352073"/>
    <w:rsid w:val="00353324"/>
    <w:rsid w:val="0035334F"/>
    <w:rsid w:val="00353C2B"/>
    <w:rsid w:val="003541EA"/>
    <w:rsid w:val="00355255"/>
    <w:rsid w:val="0035786E"/>
    <w:rsid w:val="003604E6"/>
    <w:rsid w:val="00362824"/>
    <w:rsid w:val="00364E19"/>
    <w:rsid w:val="0036526C"/>
    <w:rsid w:val="00366D19"/>
    <w:rsid w:val="00366E70"/>
    <w:rsid w:val="00385398"/>
    <w:rsid w:val="00386BE2"/>
    <w:rsid w:val="003909B8"/>
    <w:rsid w:val="00391C88"/>
    <w:rsid w:val="00392020"/>
    <w:rsid w:val="00395A00"/>
    <w:rsid w:val="0039674E"/>
    <w:rsid w:val="003A2F53"/>
    <w:rsid w:val="003A61C9"/>
    <w:rsid w:val="003A7BDB"/>
    <w:rsid w:val="003B1518"/>
    <w:rsid w:val="003B2C46"/>
    <w:rsid w:val="003B477B"/>
    <w:rsid w:val="003B5360"/>
    <w:rsid w:val="003C1A26"/>
    <w:rsid w:val="003C2295"/>
    <w:rsid w:val="003C3E40"/>
    <w:rsid w:val="003C5B3E"/>
    <w:rsid w:val="003D1B12"/>
    <w:rsid w:val="003D23B8"/>
    <w:rsid w:val="003D2828"/>
    <w:rsid w:val="003D2EFA"/>
    <w:rsid w:val="003D3346"/>
    <w:rsid w:val="003D408D"/>
    <w:rsid w:val="003D6CD3"/>
    <w:rsid w:val="003E3B27"/>
    <w:rsid w:val="003E51D5"/>
    <w:rsid w:val="003E77F1"/>
    <w:rsid w:val="003E7AB6"/>
    <w:rsid w:val="003F1407"/>
    <w:rsid w:val="003F41FE"/>
    <w:rsid w:val="003F5834"/>
    <w:rsid w:val="003F5DAE"/>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3A24"/>
    <w:rsid w:val="00457241"/>
    <w:rsid w:val="00457969"/>
    <w:rsid w:val="00470214"/>
    <w:rsid w:val="00470AC3"/>
    <w:rsid w:val="00470DDE"/>
    <w:rsid w:val="00473BFB"/>
    <w:rsid w:val="00476ABF"/>
    <w:rsid w:val="00481615"/>
    <w:rsid w:val="0048258B"/>
    <w:rsid w:val="004836AC"/>
    <w:rsid w:val="00484215"/>
    <w:rsid w:val="00484D26"/>
    <w:rsid w:val="004858C0"/>
    <w:rsid w:val="004861CC"/>
    <w:rsid w:val="004867C3"/>
    <w:rsid w:val="00486F7B"/>
    <w:rsid w:val="00490CC8"/>
    <w:rsid w:val="0049604C"/>
    <w:rsid w:val="00496A0A"/>
    <w:rsid w:val="004A4F5D"/>
    <w:rsid w:val="004A5C8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1FE5"/>
    <w:rsid w:val="00532F7C"/>
    <w:rsid w:val="00535553"/>
    <w:rsid w:val="00535F49"/>
    <w:rsid w:val="0053625D"/>
    <w:rsid w:val="0053628E"/>
    <w:rsid w:val="00536989"/>
    <w:rsid w:val="00540E25"/>
    <w:rsid w:val="00541552"/>
    <w:rsid w:val="00545707"/>
    <w:rsid w:val="005473DF"/>
    <w:rsid w:val="00547E43"/>
    <w:rsid w:val="0055051A"/>
    <w:rsid w:val="00550D1C"/>
    <w:rsid w:val="005567C6"/>
    <w:rsid w:val="0055768A"/>
    <w:rsid w:val="005620A7"/>
    <w:rsid w:val="005625D5"/>
    <w:rsid w:val="0056570D"/>
    <w:rsid w:val="00565ED8"/>
    <w:rsid w:val="00566BD4"/>
    <w:rsid w:val="00570797"/>
    <w:rsid w:val="00572443"/>
    <w:rsid w:val="0058063A"/>
    <w:rsid w:val="005808E0"/>
    <w:rsid w:val="0058149B"/>
    <w:rsid w:val="0058192B"/>
    <w:rsid w:val="00581E11"/>
    <w:rsid w:val="00582367"/>
    <w:rsid w:val="00584A24"/>
    <w:rsid w:val="00585EC1"/>
    <w:rsid w:val="00586704"/>
    <w:rsid w:val="00586FEC"/>
    <w:rsid w:val="0059128B"/>
    <w:rsid w:val="005946C7"/>
    <w:rsid w:val="00595CFA"/>
    <w:rsid w:val="005A46D8"/>
    <w:rsid w:val="005A51D2"/>
    <w:rsid w:val="005A7BB6"/>
    <w:rsid w:val="005B62D6"/>
    <w:rsid w:val="005D3725"/>
    <w:rsid w:val="005D4FDB"/>
    <w:rsid w:val="005D6295"/>
    <w:rsid w:val="005D7AF6"/>
    <w:rsid w:val="005E2FAA"/>
    <w:rsid w:val="005E3D64"/>
    <w:rsid w:val="005E45FD"/>
    <w:rsid w:val="005E5D0E"/>
    <w:rsid w:val="005E6167"/>
    <w:rsid w:val="005F1472"/>
    <w:rsid w:val="005F1B11"/>
    <w:rsid w:val="005F22E2"/>
    <w:rsid w:val="005F2EDA"/>
    <w:rsid w:val="00602492"/>
    <w:rsid w:val="006049A0"/>
    <w:rsid w:val="00606E3B"/>
    <w:rsid w:val="00607E8A"/>
    <w:rsid w:val="0061141D"/>
    <w:rsid w:val="006137C4"/>
    <w:rsid w:val="00615160"/>
    <w:rsid w:val="006154A6"/>
    <w:rsid w:val="00615993"/>
    <w:rsid w:val="00615BEC"/>
    <w:rsid w:val="00620A11"/>
    <w:rsid w:val="00624B9B"/>
    <w:rsid w:val="0062508B"/>
    <w:rsid w:val="00625CB7"/>
    <w:rsid w:val="0063464A"/>
    <w:rsid w:val="00635CBB"/>
    <w:rsid w:val="00636B52"/>
    <w:rsid w:val="00641F0A"/>
    <w:rsid w:val="006421A8"/>
    <w:rsid w:val="00642BA7"/>
    <w:rsid w:val="00643C1D"/>
    <w:rsid w:val="00643E89"/>
    <w:rsid w:val="00645D4B"/>
    <w:rsid w:val="00646407"/>
    <w:rsid w:val="00654C12"/>
    <w:rsid w:val="00660402"/>
    <w:rsid w:val="006662BB"/>
    <w:rsid w:val="00667476"/>
    <w:rsid w:val="00670CB9"/>
    <w:rsid w:val="00675289"/>
    <w:rsid w:val="00675810"/>
    <w:rsid w:val="00677A79"/>
    <w:rsid w:val="00681216"/>
    <w:rsid w:val="006835C3"/>
    <w:rsid w:val="00685854"/>
    <w:rsid w:val="00685E9E"/>
    <w:rsid w:val="00686EE7"/>
    <w:rsid w:val="00687212"/>
    <w:rsid w:val="00690397"/>
    <w:rsid w:val="00692281"/>
    <w:rsid w:val="006922E8"/>
    <w:rsid w:val="00693711"/>
    <w:rsid w:val="00694D5D"/>
    <w:rsid w:val="006951CF"/>
    <w:rsid w:val="006958C0"/>
    <w:rsid w:val="006971BC"/>
    <w:rsid w:val="006A0193"/>
    <w:rsid w:val="006A13AC"/>
    <w:rsid w:val="006A2E40"/>
    <w:rsid w:val="006A459D"/>
    <w:rsid w:val="006A5182"/>
    <w:rsid w:val="006A5DC8"/>
    <w:rsid w:val="006A65A7"/>
    <w:rsid w:val="006A664E"/>
    <w:rsid w:val="006B098C"/>
    <w:rsid w:val="006B2978"/>
    <w:rsid w:val="006B311A"/>
    <w:rsid w:val="006B315C"/>
    <w:rsid w:val="006B3FF4"/>
    <w:rsid w:val="006C1B57"/>
    <w:rsid w:val="006C1F3B"/>
    <w:rsid w:val="006C3731"/>
    <w:rsid w:val="006D1972"/>
    <w:rsid w:val="006D1F18"/>
    <w:rsid w:val="006D25B3"/>
    <w:rsid w:val="006D3700"/>
    <w:rsid w:val="006D4071"/>
    <w:rsid w:val="006D6578"/>
    <w:rsid w:val="006E168A"/>
    <w:rsid w:val="006E38C9"/>
    <w:rsid w:val="006E459D"/>
    <w:rsid w:val="006E5EAA"/>
    <w:rsid w:val="006E699A"/>
    <w:rsid w:val="006E74F5"/>
    <w:rsid w:val="006E78BD"/>
    <w:rsid w:val="006E791B"/>
    <w:rsid w:val="006F03E1"/>
    <w:rsid w:val="006F1766"/>
    <w:rsid w:val="006F6C4C"/>
    <w:rsid w:val="006F731C"/>
    <w:rsid w:val="0070084E"/>
    <w:rsid w:val="0070351A"/>
    <w:rsid w:val="00710F8C"/>
    <w:rsid w:val="00711729"/>
    <w:rsid w:val="00712A61"/>
    <w:rsid w:val="0071304D"/>
    <w:rsid w:val="007204DB"/>
    <w:rsid w:val="007207C9"/>
    <w:rsid w:val="0072168E"/>
    <w:rsid w:val="007241B3"/>
    <w:rsid w:val="007248F4"/>
    <w:rsid w:val="00724CB4"/>
    <w:rsid w:val="007263ED"/>
    <w:rsid w:val="00726A25"/>
    <w:rsid w:val="00727DFE"/>
    <w:rsid w:val="0073306C"/>
    <w:rsid w:val="0073340D"/>
    <w:rsid w:val="007338AF"/>
    <w:rsid w:val="00737FB5"/>
    <w:rsid w:val="007403FC"/>
    <w:rsid w:val="00742F00"/>
    <w:rsid w:val="00750911"/>
    <w:rsid w:val="00751F91"/>
    <w:rsid w:val="0075428A"/>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1F0E"/>
    <w:rsid w:val="007B2FB1"/>
    <w:rsid w:val="007B536E"/>
    <w:rsid w:val="007B57D9"/>
    <w:rsid w:val="007B6E38"/>
    <w:rsid w:val="007C2928"/>
    <w:rsid w:val="007C2C9B"/>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4EFE"/>
    <w:rsid w:val="00815984"/>
    <w:rsid w:val="00816D32"/>
    <w:rsid w:val="008201D8"/>
    <w:rsid w:val="00823940"/>
    <w:rsid w:val="00825A27"/>
    <w:rsid w:val="00826371"/>
    <w:rsid w:val="00830D96"/>
    <w:rsid w:val="00835502"/>
    <w:rsid w:val="008401C6"/>
    <w:rsid w:val="00842565"/>
    <w:rsid w:val="00844024"/>
    <w:rsid w:val="0084498D"/>
    <w:rsid w:val="00852FDF"/>
    <w:rsid w:val="00853528"/>
    <w:rsid w:val="008554F3"/>
    <w:rsid w:val="00861A6D"/>
    <w:rsid w:val="00864900"/>
    <w:rsid w:val="008650CC"/>
    <w:rsid w:val="008679D8"/>
    <w:rsid w:val="00871284"/>
    <w:rsid w:val="00871A7E"/>
    <w:rsid w:val="00874608"/>
    <w:rsid w:val="008757E7"/>
    <w:rsid w:val="008758EA"/>
    <w:rsid w:val="008759BA"/>
    <w:rsid w:val="0087603B"/>
    <w:rsid w:val="0087661F"/>
    <w:rsid w:val="00876C1D"/>
    <w:rsid w:val="008806FF"/>
    <w:rsid w:val="00880868"/>
    <w:rsid w:val="008817A2"/>
    <w:rsid w:val="008852FB"/>
    <w:rsid w:val="00885781"/>
    <w:rsid w:val="0089189B"/>
    <w:rsid w:val="00894190"/>
    <w:rsid w:val="008952AD"/>
    <w:rsid w:val="008968CE"/>
    <w:rsid w:val="00896E4B"/>
    <w:rsid w:val="00897C06"/>
    <w:rsid w:val="008A18E2"/>
    <w:rsid w:val="008A245F"/>
    <w:rsid w:val="008A4CD7"/>
    <w:rsid w:val="008A6376"/>
    <w:rsid w:val="008A6815"/>
    <w:rsid w:val="008A6A96"/>
    <w:rsid w:val="008B05C4"/>
    <w:rsid w:val="008B0FE3"/>
    <w:rsid w:val="008B2A24"/>
    <w:rsid w:val="008B313A"/>
    <w:rsid w:val="008B412C"/>
    <w:rsid w:val="008B702D"/>
    <w:rsid w:val="008B7AC3"/>
    <w:rsid w:val="008C23F3"/>
    <w:rsid w:val="008C34E9"/>
    <w:rsid w:val="008C463B"/>
    <w:rsid w:val="008C6DFC"/>
    <w:rsid w:val="008C795C"/>
    <w:rsid w:val="008D03C4"/>
    <w:rsid w:val="008D2228"/>
    <w:rsid w:val="008D33E3"/>
    <w:rsid w:val="008D3709"/>
    <w:rsid w:val="008D59DB"/>
    <w:rsid w:val="008D5E13"/>
    <w:rsid w:val="008E461E"/>
    <w:rsid w:val="008E5A20"/>
    <w:rsid w:val="008E5ABA"/>
    <w:rsid w:val="008E6C98"/>
    <w:rsid w:val="008E7484"/>
    <w:rsid w:val="008E784D"/>
    <w:rsid w:val="008E7A67"/>
    <w:rsid w:val="008E7C1B"/>
    <w:rsid w:val="008F0E38"/>
    <w:rsid w:val="008F1CB5"/>
    <w:rsid w:val="008F26F6"/>
    <w:rsid w:val="008F4025"/>
    <w:rsid w:val="008F48EA"/>
    <w:rsid w:val="008F6908"/>
    <w:rsid w:val="00911492"/>
    <w:rsid w:val="00911682"/>
    <w:rsid w:val="009148F9"/>
    <w:rsid w:val="009154BF"/>
    <w:rsid w:val="009164A3"/>
    <w:rsid w:val="00921D32"/>
    <w:rsid w:val="00924D9E"/>
    <w:rsid w:val="00927D9D"/>
    <w:rsid w:val="0093468D"/>
    <w:rsid w:val="0093724D"/>
    <w:rsid w:val="00942B7F"/>
    <w:rsid w:val="00942D0C"/>
    <w:rsid w:val="00945B5C"/>
    <w:rsid w:val="00946FC2"/>
    <w:rsid w:val="00951232"/>
    <w:rsid w:val="00951278"/>
    <w:rsid w:val="00956A14"/>
    <w:rsid w:val="00961CE9"/>
    <w:rsid w:val="0096217D"/>
    <w:rsid w:val="009625A5"/>
    <w:rsid w:val="00962B14"/>
    <w:rsid w:val="009645EB"/>
    <w:rsid w:val="009646FC"/>
    <w:rsid w:val="00964F3E"/>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179"/>
    <w:rsid w:val="00A613D3"/>
    <w:rsid w:val="00A61FD0"/>
    <w:rsid w:val="00A650F4"/>
    <w:rsid w:val="00A66009"/>
    <w:rsid w:val="00A71542"/>
    <w:rsid w:val="00A715B4"/>
    <w:rsid w:val="00A71CF1"/>
    <w:rsid w:val="00A72C03"/>
    <w:rsid w:val="00A737AF"/>
    <w:rsid w:val="00A744F7"/>
    <w:rsid w:val="00A76EDB"/>
    <w:rsid w:val="00A80814"/>
    <w:rsid w:val="00A820E0"/>
    <w:rsid w:val="00A828E5"/>
    <w:rsid w:val="00A83E8C"/>
    <w:rsid w:val="00A84558"/>
    <w:rsid w:val="00A845EF"/>
    <w:rsid w:val="00A84D4E"/>
    <w:rsid w:val="00A86931"/>
    <w:rsid w:val="00A90FA1"/>
    <w:rsid w:val="00A9242B"/>
    <w:rsid w:val="00A930DF"/>
    <w:rsid w:val="00A9362A"/>
    <w:rsid w:val="00A93712"/>
    <w:rsid w:val="00A96317"/>
    <w:rsid w:val="00AA05B1"/>
    <w:rsid w:val="00AA2512"/>
    <w:rsid w:val="00AA46ED"/>
    <w:rsid w:val="00AA4713"/>
    <w:rsid w:val="00AA5E23"/>
    <w:rsid w:val="00AA71F7"/>
    <w:rsid w:val="00AA7419"/>
    <w:rsid w:val="00AB07B7"/>
    <w:rsid w:val="00AB0A6B"/>
    <w:rsid w:val="00AB0BB7"/>
    <w:rsid w:val="00AB1E4D"/>
    <w:rsid w:val="00AB3121"/>
    <w:rsid w:val="00AB797B"/>
    <w:rsid w:val="00AC1E2C"/>
    <w:rsid w:val="00AC570F"/>
    <w:rsid w:val="00AC77B1"/>
    <w:rsid w:val="00AD3124"/>
    <w:rsid w:val="00AD3A5A"/>
    <w:rsid w:val="00AD3C25"/>
    <w:rsid w:val="00AD6E58"/>
    <w:rsid w:val="00AE0DC3"/>
    <w:rsid w:val="00AE49D4"/>
    <w:rsid w:val="00AE540F"/>
    <w:rsid w:val="00AE6968"/>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9DE"/>
    <w:rsid w:val="00B22D54"/>
    <w:rsid w:val="00B23EF9"/>
    <w:rsid w:val="00B25288"/>
    <w:rsid w:val="00B25D8A"/>
    <w:rsid w:val="00B25E6A"/>
    <w:rsid w:val="00B322B8"/>
    <w:rsid w:val="00B33FAA"/>
    <w:rsid w:val="00B35561"/>
    <w:rsid w:val="00B3679B"/>
    <w:rsid w:val="00B405B9"/>
    <w:rsid w:val="00B412C9"/>
    <w:rsid w:val="00B452AF"/>
    <w:rsid w:val="00B4786E"/>
    <w:rsid w:val="00B5054B"/>
    <w:rsid w:val="00B51BEA"/>
    <w:rsid w:val="00B541FC"/>
    <w:rsid w:val="00B54B06"/>
    <w:rsid w:val="00B55F22"/>
    <w:rsid w:val="00B604E9"/>
    <w:rsid w:val="00B62507"/>
    <w:rsid w:val="00B62607"/>
    <w:rsid w:val="00B6481E"/>
    <w:rsid w:val="00B665C6"/>
    <w:rsid w:val="00B73168"/>
    <w:rsid w:val="00B76200"/>
    <w:rsid w:val="00B766AC"/>
    <w:rsid w:val="00B82DDF"/>
    <w:rsid w:val="00B8687B"/>
    <w:rsid w:val="00B86EC6"/>
    <w:rsid w:val="00B90675"/>
    <w:rsid w:val="00B95C50"/>
    <w:rsid w:val="00B97F02"/>
    <w:rsid w:val="00BA0296"/>
    <w:rsid w:val="00BA1D47"/>
    <w:rsid w:val="00BA2D8B"/>
    <w:rsid w:val="00BA4FAC"/>
    <w:rsid w:val="00BA4FD3"/>
    <w:rsid w:val="00BA5078"/>
    <w:rsid w:val="00BA5264"/>
    <w:rsid w:val="00BA583B"/>
    <w:rsid w:val="00BA6294"/>
    <w:rsid w:val="00BA67B9"/>
    <w:rsid w:val="00BA6C73"/>
    <w:rsid w:val="00BB081F"/>
    <w:rsid w:val="00BB6660"/>
    <w:rsid w:val="00BB7087"/>
    <w:rsid w:val="00BC094F"/>
    <w:rsid w:val="00BC460E"/>
    <w:rsid w:val="00BC4F92"/>
    <w:rsid w:val="00BC5F98"/>
    <w:rsid w:val="00BC5FB4"/>
    <w:rsid w:val="00BC63F6"/>
    <w:rsid w:val="00BC708E"/>
    <w:rsid w:val="00BC79E7"/>
    <w:rsid w:val="00BD1E2D"/>
    <w:rsid w:val="00BD3721"/>
    <w:rsid w:val="00BD4BAA"/>
    <w:rsid w:val="00BE0AE2"/>
    <w:rsid w:val="00BE1825"/>
    <w:rsid w:val="00BE32D8"/>
    <w:rsid w:val="00BE49A5"/>
    <w:rsid w:val="00BE642B"/>
    <w:rsid w:val="00BE6BB9"/>
    <w:rsid w:val="00BE7EEF"/>
    <w:rsid w:val="00BF2899"/>
    <w:rsid w:val="00BF4933"/>
    <w:rsid w:val="00BF49DE"/>
    <w:rsid w:val="00BF4D62"/>
    <w:rsid w:val="00BF5375"/>
    <w:rsid w:val="00BF650E"/>
    <w:rsid w:val="00BF6E15"/>
    <w:rsid w:val="00BF6F52"/>
    <w:rsid w:val="00BF76E3"/>
    <w:rsid w:val="00BF786F"/>
    <w:rsid w:val="00BF7D83"/>
    <w:rsid w:val="00C0099B"/>
    <w:rsid w:val="00C010BF"/>
    <w:rsid w:val="00C02D8B"/>
    <w:rsid w:val="00C04BCD"/>
    <w:rsid w:val="00C04E54"/>
    <w:rsid w:val="00C06291"/>
    <w:rsid w:val="00C1004A"/>
    <w:rsid w:val="00C1178D"/>
    <w:rsid w:val="00C11CE1"/>
    <w:rsid w:val="00C15783"/>
    <w:rsid w:val="00C15C78"/>
    <w:rsid w:val="00C2349D"/>
    <w:rsid w:val="00C26ABB"/>
    <w:rsid w:val="00C36BBA"/>
    <w:rsid w:val="00C3761C"/>
    <w:rsid w:val="00C44968"/>
    <w:rsid w:val="00C500EF"/>
    <w:rsid w:val="00C50373"/>
    <w:rsid w:val="00C5069F"/>
    <w:rsid w:val="00C50FC5"/>
    <w:rsid w:val="00C539DA"/>
    <w:rsid w:val="00C541A0"/>
    <w:rsid w:val="00C55CAC"/>
    <w:rsid w:val="00C56A8D"/>
    <w:rsid w:val="00C62E9D"/>
    <w:rsid w:val="00C6461C"/>
    <w:rsid w:val="00C655B8"/>
    <w:rsid w:val="00C669A6"/>
    <w:rsid w:val="00C70540"/>
    <w:rsid w:val="00C7552E"/>
    <w:rsid w:val="00C773EC"/>
    <w:rsid w:val="00C77E2F"/>
    <w:rsid w:val="00C87988"/>
    <w:rsid w:val="00C911D8"/>
    <w:rsid w:val="00C91DAE"/>
    <w:rsid w:val="00C92A58"/>
    <w:rsid w:val="00C93549"/>
    <w:rsid w:val="00C938C2"/>
    <w:rsid w:val="00C93A1E"/>
    <w:rsid w:val="00C93CEA"/>
    <w:rsid w:val="00C9482E"/>
    <w:rsid w:val="00C95C20"/>
    <w:rsid w:val="00C96FDD"/>
    <w:rsid w:val="00CA0F0E"/>
    <w:rsid w:val="00CA102D"/>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A0"/>
    <w:rsid w:val="00D20419"/>
    <w:rsid w:val="00D2066F"/>
    <w:rsid w:val="00D23845"/>
    <w:rsid w:val="00D24994"/>
    <w:rsid w:val="00D24ECB"/>
    <w:rsid w:val="00D3000A"/>
    <w:rsid w:val="00D30AF4"/>
    <w:rsid w:val="00D30B0B"/>
    <w:rsid w:val="00D30BCE"/>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025"/>
    <w:rsid w:val="00D87C98"/>
    <w:rsid w:val="00D87F8F"/>
    <w:rsid w:val="00D91551"/>
    <w:rsid w:val="00D91F2F"/>
    <w:rsid w:val="00D92A71"/>
    <w:rsid w:val="00D92E31"/>
    <w:rsid w:val="00D95C5E"/>
    <w:rsid w:val="00D974DF"/>
    <w:rsid w:val="00D977F5"/>
    <w:rsid w:val="00D97A4B"/>
    <w:rsid w:val="00DA1602"/>
    <w:rsid w:val="00DA339C"/>
    <w:rsid w:val="00DA573F"/>
    <w:rsid w:val="00DA6C95"/>
    <w:rsid w:val="00DB07EB"/>
    <w:rsid w:val="00DB090B"/>
    <w:rsid w:val="00DB393F"/>
    <w:rsid w:val="00DB4041"/>
    <w:rsid w:val="00DC2E80"/>
    <w:rsid w:val="00DC5C73"/>
    <w:rsid w:val="00DD5437"/>
    <w:rsid w:val="00DD7C3A"/>
    <w:rsid w:val="00DE0A5D"/>
    <w:rsid w:val="00DE2C87"/>
    <w:rsid w:val="00DE31EA"/>
    <w:rsid w:val="00DF061E"/>
    <w:rsid w:val="00DF16DA"/>
    <w:rsid w:val="00DF43A3"/>
    <w:rsid w:val="00DF4A16"/>
    <w:rsid w:val="00DF53EF"/>
    <w:rsid w:val="00DF5A89"/>
    <w:rsid w:val="00DF685B"/>
    <w:rsid w:val="00E011DA"/>
    <w:rsid w:val="00E03289"/>
    <w:rsid w:val="00E03798"/>
    <w:rsid w:val="00E038AB"/>
    <w:rsid w:val="00E05710"/>
    <w:rsid w:val="00E114C9"/>
    <w:rsid w:val="00E12647"/>
    <w:rsid w:val="00E12A76"/>
    <w:rsid w:val="00E12C38"/>
    <w:rsid w:val="00E140A3"/>
    <w:rsid w:val="00E206F6"/>
    <w:rsid w:val="00E210AF"/>
    <w:rsid w:val="00E26064"/>
    <w:rsid w:val="00E266E8"/>
    <w:rsid w:val="00E27106"/>
    <w:rsid w:val="00E30699"/>
    <w:rsid w:val="00E32CEA"/>
    <w:rsid w:val="00E33A27"/>
    <w:rsid w:val="00E35582"/>
    <w:rsid w:val="00E373D4"/>
    <w:rsid w:val="00E41540"/>
    <w:rsid w:val="00E50FC5"/>
    <w:rsid w:val="00E52BB8"/>
    <w:rsid w:val="00E54BF8"/>
    <w:rsid w:val="00E55B0E"/>
    <w:rsid w:val="00E55F63"/>
    <w:rsid w:val="00E56403"/>
    <w:rsid w:val="00E62DBC"/>
    <w:rsid w:val="00E630D2"/>
    <w:rsid w:val="00E65C58"/>
    <w:rsid w:val="00E6661B"/>
    <w:rsid w:val="00E667B9"/>
    <w:rsid w:val="00E67D62"/>
    <w:rsid w:val="00E67ECD"/>
    <w:rsid w:val="00E729DB"/>
    <w:rsid w:val="00E73248"/>
    <w:rsid w:val="00E73610"/>
    <w:rsid w:val="00E777B3"/>
    <w:rsid w:val="00E77D81"/>
    <w:rsid w:val="00E81033"/>
    <w:rsid w:val="00E810C3"/>
    <w:rsid w:val="00E848E7"/>
    <w:rsid w:val="00E84EC5"/>
    <w:rsid w:val="00E859C4"/>
    <w:rsid w:val="00E87A46"/>
    <w:rsid w:val="00E93577"/>
    <w:rsid w:val="00E94837"/>
    <w:rsid w:val="00E95C79"/>
    <w:rsid w:val="00E9650A"/>
    <w:rsid w:val="00E965BF"/>
    <w:rsid w:val="00EA1E6F"/>
    <w:rsid w:val="00EA3258"/>
    <w:rsid w:val="00EA444E"/>
    <w:rsid w:val="00EA45BC"/>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4FEC"/>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20CB6"/>
    <w:rsid w:val="00F2155C"/>
    <w:rsid w:val="00F232DC"/>
    <w:rsid w:val="00F23802"/>
    <w:rsid w:val="00F307C5"/>
    <w:rsid w:val="00F31D56"/>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06A0"/>
    <w:rsid w:val="00FF2EA8"/>
    <w:rsid w:val="00FF37F6"/>
    <w:rsid w:val="00FF3CDB"/>
    <w:rsid w:val="00FF4ADD"/>
    <w:rsid w:val="010D30AA"/>
    <w:rsid w:val="01145609"/>
    <w:rsid w:val="02FF142B"/>
    <w:rsid w:val="03127926"/>
    <w:rsid w:val="03297612"/>
    <w:rsid w:val="05C15F49"/>
    <w:rsid w:val="06A50AB1"/>
    <w:rsid w:val="075F6EB2"/>
    <w:rsid w:val="07A043F0"/>
    <w:rsid w:val="07C6764E"/>
    <w:rsid w:val="08033CE1"/>
    <w:rsid w:val="0828199A"/>
    <w:rsid w:val="08602EE2"/>
    <w:rsid w:val="091F4B4B"/>
    <w:rsid w:val="09A17C56"/>
    <w:rsid w:val="0B0E30C9"/>
    <w:rsid w:val="0C1660BA"/>
    <w:rsid w:val="0E6D6359"/>
    <w:rsid w:val="0F84395A"/>
    <w:rsid w:val="0F895414"/>
    <w:rsid w:val="0FE32D76"/>
    <w:rsid w:val="100449D5"/>
    <w:rsid w:val="1154463F"/>
    <w:rsid w:val="11763776"/>
    <w:rsid w:val="11A77DD3"/>
    <w:rsid w:val="13031039"/>
    <w:rsid w:val="13F310AE"/>
    <w:rsid w:val="13FC7862"/>
    <w:rsid w:val="14107EB2"/>
    <w:rsid w:val="15EE5FD1"/>
    <w:rsid w:val="16E573D4"/>
    <w:rsid w:val="1706617A"/>
    <w:rsid w:val="172B6DB1"/>
    <w:rsid w:val="1A626F8D"/>
    <w:rsid w:val="1B34092A"/>
    <w:rsid w:val="1BF73705"/>
    <w:rsid w:val="1C1D13BE"/>
    <w:rsid w:val="1C3F7586"/>
    <w:rsid w:val="1C4861D1"/>
    <w:rsid w:val="1FF00B97"/>
    <w:rsid w:val="204A474C"/>
    <w:rsid w:val="226C09A9"/>
    <w:rsid w:val="23DD1433"/>
    <w:rsid w:val="25377454"/>
    <w:rsid w:val="25E1520A"/>
    <w:rsid w:val="26BB1EFF"/>
    <w:rsid w:val="275639D6"/>
    <w:rsid w:val="27DE3D37"/>
    <w:rsid w:val="27FD02F5"/>
    <w:rsid w:val="29211DC2"/>
    <w:rsid w:val="296E4079"/>
    <w:rsid w:val="29CB06AB"/>
    <w:rsid w:val="2A2B70CB"/>
    <w:rsid w:val="2B6D7540"/>
    <w:rsid w:val="2CF241A1"/>
    <w:rsid w:val="2D0447D1"/>
    <w:rsid w:val="2E721F16"/>
    <w:rsid w:val="2FDE6C5E"/>
    <w:rsid w:val="2FFC7A84"/>
    <w:rsid w:val="30D75B88"/>
    <w:rsid w:val="31553B7E"/>
    <w:rsid w:val="32342B66"/>
    <w:rsid w:val="325356E2"/>
    <w:rsid w:val="32DC2D25"/>
    <w:rsid w:val="332826CA"/>
    <w:rsid w:val="33AC55B7"/>
    <w:rsid w:val="34F53693"/>
    <w:rsid w:val="356814A4"/>
    <w:rsid w:val="37702892"/>
    <w:rsid w:val="37DC7F27"/>
    <w:rsid w:val="38CF19E7"/>
    <w:rsid w:val="39C742BF"/>
    <w:rsid w:val="3ACA22B9"/>
    <w:rsid w:val="3C9A0678"/>
    <w:rsid w:val="3CA54D8C"/>
    <w:rsid w:val="3CB054DF"/>
    <w:rsid w:val="3ED731F7"/>
    <w:rsid w:val="3F1475D7"/>
    <w:rsid w:val="3FB3156E"/>
    <w:rsid w:val="3FEE18C7"/>
    <w:rsid w:val="4084115C"/>
    <w:rsid w:val="4093139F"/>
    <w:rsid w:val="40DC2D46"/>
    <w:rsid w:val="41654AEA"/>
    <w:rsid w:val="422B5D33"/>
    <w:rsid w:val="427E58A6"/>
    <w:rsid w:val="432A5FEB"/>
    <w:rsid w:val="43343B3B"/>
    <w:rsid w:val="44021343"/>
    <w:rsid w:val="46901133"/>
    <w:rsid w:val="47B63930"/>
    <w:rsid w:val="49A62143"/>
    <w:rsid w:val="49B44860"/>
    <w:rsid w:val="4A1470AD"/>
    <w:rsid w:val="4A9F106C"/>
    <w:rsid w:val="4B1074FD"/>
    <w:rsid w:val="4B290E6A"/>
    <w:rsid w:val="4B5160DF"/>
    <w:rsid w:val="4B702A09"/>
    <w:rsid w:val="4C115F9A"/>
    <w:rsid w:val="4EC2357B"/>
    <w:rsid w:val="4EC92B5C"/>
    <w:rsid w:val="4FFF5A0B"/>
    <w:rsid w:val="50A76ECD"/>
    <w:rsid w:val="515D57DD"/>
    <w:rsid w:val="51850890"/>
    <w:rsid w:val="524E3378"/>
    <w:rsid w:val="55CC5E89"/>
    <w:rsid w:val="55F10BEA"/>
    <w:rsid w:val="56731B2D"/>
    <w:rsid w:val="57BD4083"/>
    <w:rsid w:val="5A1D1FAE"/>
    <w:rsid w:val="5A851107"/>
    <w:rsid w:val="5BE417F7"/>
    <w:rsid w:val="5C0E385F"/>
    <w:rsid w:val="5DDE7CA6"/>
    <w:rsid w:val="5ED6097D"/>
    <w:rsid w:val="5EF901AB"/>
    <w:rsid w:val="5F522CD2"/>
    <w:rsid w:val="5F8C5367"/>
    <w:rsid w:val="60DD2497"/>
    <w:rsid w:val="61137C66"/>
    <w:rsid w:val="615269E1"/>
    <w:rsid w:val="61720E31"/>
    <w:rsid w:val="62F15AC1"/>
    <w:rsid w:val="63452C99"/>
    <w:rsid w:val="659C275B"/>
    <w:rsid w:val="65E46C8B"/>
    <w:rsid w:val="667D1833"/>
    <w:rsid w:val="66B81CE4"/>
    <w:rsid w:val="674E73A4"/>
    <w:rsid w:val="67D363A2"/>
    <w:rsid w:val="67EE4F89"/>
    <w:rsid w:val="68E63EB3"/>
    <w:rsid w:val="691133A9"/>
    <w:rsid w:val="6A0E36C1"/>
    <w:rsid w:val="6AE83F12"/>
    <w:rsid w:val="6AF42919"/>
    <w:rsid w:val="6B371919"/>
    <w:rsid w:val="6BCE3108"/>
    <w:rsid w:val="6C4523D3"/>
    <w:rsid w:val="6DA560EA"/>
    <w:rsid w:val="6F0A3621"/>
    <w:rsid w:val="703025E3"/>
    <w:rsid w:val="70855733"/>
    <w:rsid w:val="713952F0"/>
    <w:rsid w:val="733A72D5"/>
    <w:rsid w:val="73DE2937"/>
    <w:rsid w:val="73F82902"/>
    <w:rsid w:val="751C3136"/>
    <w:rsid w:val="76277FE4"/>
    <w:rsid w:val="77CE4490"/>
    <w:rsid w:val="784130AE"/>
    <w:rsid w:val="787768D5"/>
    <w:rsid w:val="79A25BD4"/>
    <w:rsid w:val="7AEE7323"/>
    <w:rsid w:val="7BC57D1D"/>
    <w:rsid w:val="7C7A62C9"/>
    <w:rsid w:val="7CE252A9"/>
    <w:rsid w:val="7D5B4A17"/>
    <w:rsid w:val="7EA45F4A"/>
    <w:rsid w:val="7F4339B5"/>
    <w:rsid w:val="7F725A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nhideWhenUsed="0" w:uiPriority="0"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62"/>
    <w:autoRedefine/>
    <w:qFormat/>
    <w:uiPriority w:val="9"/>
    <w:pPr>
      <w:spacing w:before="340" w:after="330" w:line="360" w:lineRule="auto"/>
      <w:jc w:val="center"/>
      <w:outlineLvl w:val="0"/>
    </w:pPr>
    <w:rPr>
      <w:rFonts w:eastAsia="黑体"/>
      <w:kern w:val="44"/>
      <w:szCs w:val="44"/>
    </w:rPr>
  </w:style>
  <w:style w:type="paragraph" w:styleId="5">
    <w:name w:val="heading 2"/>
    <w:basedOn w:val="3"/>
    <w:next w:val="4"/>
    <w:link w:val="63"/>
    <w:autoRedefine/>
    <w:qFormat/>
    <w:uiPriority w:val="0"/>
    <w:pPr>
      <w:adjustRightInd w:val="0"/>
      <w:jc w:val="center"/>
      <w:textAlignment w:val="baseline"/>
      <w:outlineLvl w:val="1"/>
    </w:pPr>
    <w:rPr>
      <w:sz w:val="24"/>
      <w:szCs w:val="20"/>
    </w:rPr>
  </w:style>
  <w:style w:type="paragraph" w:styleId="3">
    <w:name w:val="heading 3"/>
    <w:basedOn w:val="4"/>
    <w:next w:val="1"/>
    <w:link w:val="71"/>
    <w:autoRedefine/>
    <w:qFormat/>
    <w:uiPriority w:val="9"/>
    <w:pPr>
      <w:spacing w:before="260" w:after="260" w:line="240" w:lineRule="auto"/>
      <w:outlineLvl w:val="2"/>
    </w:pPr>
    <w:rPr>
      <w:rFonts w:ascii="宋体" w:hAnsi="宋体" w:eastAsia="宋体"/>
      <w:szCs w:val="32"/>
    </w:rPr>
  </w:style>
  <w:style w:type="paragraph" w:styleId="4">
    <w:name w:val="heading 4"/>
    <w:basedOn w:val="1"/>
    <w:next w:val="1"/>
    <w:link w:val="65"/>
    <w:autoRedefine/>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66"/>
    <w:autoRedefine/>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67"/>
    <w:autoRedefine/>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8"/>
    <w:autoRedefine/>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9"/>
    <w:autoRedefine/>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70"/>
    <w:autoRedefine/>
    <w:qFormat/>
    <w:uiPriority w:val="0"/>
    <w:pPr>
      <w:keepNext/>
      <w:keepLines/>
      <w:spacing w:before="240" w:after="64" w:line="320" w:lineRule="auto"/>
      <w:outlineLvl w:val="8"/>
    </w:pPr>
    <w:rPr>
      <w:rFonts w:ascii="Arial" w:hAnsi="Arial" w:eastAsia="黑体"/>
      <w:kern w:val="0"/>
      <w:sz w:val="20"/>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83"/>
    <w:autoRedefine/>
    <w:qFormat/>
    <w:uiPriority w:val="0"/>
    <w:pPr>
      <w:ind w:firstLine="420"/>
    </w:pPr>
    <w:rPr>
      <w:rFonts w:ascii="Times New Roman" w:hAnsi="Times New Roman"/>
      <w:kern w:val="0"/>
      <w:sz w:val="20"/>
      <w:szCs w:val="20"/>
    </w:rPr>
  </w:style>
  <w:style w:type="paragraph" w:styleId="12">
    <w:name w:val="toc 7"/>
    <w:basedOn w:val="1"/>
    <w:next w:val="1"/>
    <w:autoRedefine/>
    <w:semiHidden/>
    <w:qFormat/>
    <w:uiPriority w:val="0"/>
    <w:pPr>
      <w:ind w:left="1260"/>
      <w:jc w:val="left"/>
    </w:pPr>
    <w:rPr>
      <w:rFonts w:ascii="Times New Roman" w:hAnsi="Times New Roman"/>
      <w:szCs w:val="21"/>
    </w:rPr>
  </w:style>
  <w:style w:type="paragraph" w:styleId="13">
    <w:name w:val="caption"/>
    <w:basedOn w:val="1"/>
    <w:next w:val="1"/>
    <w:autoRedefine/>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autoRedefine/>
    <w:qFormat/>
    <w:uiPriority w:val="0"/>
    <w:pPr>
      <w:tabs>
        <w:tab w:val="left" w:pos="360"/>
      </w:tabs>
      <w:ind w:left="360" w:hanging="360"/>
    </w:pPr>
    <w:rPr>
      <w:rFonts w:ascii="Times New Roman" w:hAnsi="Times New Roman"/>
      <w:szCs w:val="20"/>
    </w:rPr>
  </w:style>
  <w:style w:type="paragraph" w:styleId="15">
    <w:name w:val="Document Map"/>
    <w:basedOn w:val="1"/>
    <w:link w:val="123"/>
    <w:autoRedefine/>
    <w:semiHidden/>
    <w:qFormat/>
    <w:uiPriority w:val="0"/>
    <w:pPr>
      <w:shd w:val="clear" w:color="auto" w:fill="000080"/>
    </w:pPr>
    <w:rPr>
      <w:rFonts w:ascii="Times New Roman" w:hAnsi="Times New Roman"/>
      <w:kern w:val="0"/>
      <w:sz w:val="20"/>
      <w:szCs w:val="24"/>
    </w:rPr>
  </w:style>
  <w:style w:type="paragraph" w:styleId="16">
    <w:name w:val="annotation text"/>
    <w:basedOn w:val="1"/>
    <w:link w:val="127"/>
    <w:autoRedefine/>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21"/>
    <w:autoRedefine/>
    <w:qFormat/>
    <w:uiPriority w:val="0"/>
    <w:pPr>
      <w:spacing w:after="120"/>
    </w:pPr>
    <w:rPr>
      <w:rFonts w:ascii="Times New Roman" w:hAnsi="Times New Roman"/>
      <w:kern w:val="0"/>
      <w:sz w:val="16"/>
      <w:szCs w:val="16"/>
    </w:rPr>
  </w:style>
  <w:style w:type="paragraph" w:styleId="18">
    <w:name w:val="Body Text"/>
    <w:basedOn w:val="1"/>
    <w:next w:val="19"/>
    <w:link w:val="125"/>
    <w:autoRedefine/>
    <w:qFormat/>
    <w:uiPriority w:val="0"/>
    <w:pPr>
      <w:spacing w:line="360" w:lineRule="auto"/>
    </w:pPr>
    <w:rPr>
      <w:rFonts w:ascii="Times New Roman" w:hAnsi="Times New Roman"/>
      <w:b/>
      <w:bCs/>
      <w:kern w:val="0"/>
      <w:sz w:val="24"/>
      <w:szCs w:val="24"/>
    </w:rPr>
  </w:style>
  <w:style w:type="paragraph" w:styleId="19">
    <w:name w:val="Body Text 2"/>
    <w:basedOn w:val="1"/>
    <w:link w:val="130"/>
    <w:autoRedefine/>
    <w:qFormat/>
    <w:uiPriority w:val="0"/>
    <w:pPr>
      <w:spacing w:line="360" w:lineRule="auto"/>
    </w:pPr>
    <w:rPr>
      <w:rFonts w:ascii="Times New Roman" w:hAnsi="Times New Roman"/>
      <w:kern w:val="0"/>
      <w:sz w:val="24"/>
      <w:szCs w:val="24"/>
    </w:rPr>
  </w:style>
  <w:style w:type="paragraph" w:styleId="20">
    <w:name w:val="Body Text Indent"/>
    <w:basedOn w:val="1"/>
    <w:link w:val="126"/>
    <w:autoRedefine/>
    <w:qFormat/>
    <w:uiPriority w:val="0"/>
    <w:pPr>
      <w:spacing w:line="360" w:lineRule="auto"/>
      <w:ind w:firstLine="420" w:firstLineChars="200"/>
    </w:pPr>
    <w:rPr>
      <w:rFonts w:ascii="Times New Roman" w:hAnsi="Times New Roman"/>
      <w:kern w:val="0"/>
      <w:sz w:val="20"/>
      <w:szCs w:val="24"/>
    </w:rPr>
  </w:style>
  <w:style w:type="paragraph" w:styleId="21">
    <w:name w:val="Block Text"/>
    <w:basedOn w:val="1"/>
    <w:autoRedefine/>
    <w:qFormat/>
    <w:uiPriority w:val="0"/>
    <w:pPr>
      <w:widowControl/>
      <w:ind w:left="480" w:right="-341" w:firstLine="513"/>
      <w:jc w:val="left"/>
    </w:pPr>
    <w:rPr>
      <w:rFonts w:ascii="Times New Roman" w:hAnsi="Times New Roman" w:eastAsia="Times New Roman"/>
      <w:kern w:val="0"/>
      <w:sz w:val="24"/>
      <w:szCs w:val="20"/>
    </w:rPr>
  </w:style>
  <w:style w:type="paragraph" w:styleId="22">
    <w:name w:val="toc 5"/>
    <w:basedOn w:val="1"/>
    <w:next w:val="1"/>
    <w:autoRedefine/>
    <w:semiHidden/>
    <w:qFormat/>
    <w:uiPriority w:val="0"/>
    <w:pPr>
      <w:ind w:left="840"/>
      <w:jc w:val="left"/>
    </w:pPr>
    <w:rPr>
      <w:rFonts w:ascii="Times New Roman" w:hAnsi="Times New Roman"/>
      <w:szCs w:val="21"/>
    </w:rPr>
  </w:style>
  <w:style w:type="paragraph" w:styleId="23">
    <w:name w:val="toc 3"/>
    <w:basedOn w:val="1"/>
    <w:next w:val="1"/>
    <w:autoRedefine/>
    <w:semiHidden/>
    <w:qFormat/>
    <w:uiPriority w:val="0"/>
    <w:pPr>
      <w:ind w:left="420"/>
      <w:jc w:val="left"/>
    </w:pPr>
    <w:rPr>
      <w:rFonts w:ascii="Times New Roman" w:hAnsi="Times New Roman"/>
      <w:i/>
      <w:iCs/>
      <w:szCs w:val="24"/>
    </w:rPr>
  </w:style>
  <w:style w:type="paragraph" w:styleId="24">
    <w:name w:val="Plain Text"/>
    <w:basedOn w:val="1"/>
    <w:link w:val="122"/>
    <w:autoRedefine/>
    <w:qFormat/>
    <w:uiPriority w:val="0"/>
    <w:rPr>
      <w:rFonts w:ascii="宋体" w:hAnsi="Courier New"/>
      <w:kern w:val="0"/>
      <w:sz w:val="20"/>
      <w:szCs w:val="20"/>
    </w:rPr>
  </w:style>
  <w:style w:type="paragraph" w:styleId="25">
    <w:name w:val="toc 8"/>
    <w:basedOn w:val="1"/>
    <w:next w:val="1"/>
    <w:autoRedefine/>
    <w:semiHidden/>
    <w:qFormat/>
    <w:uiPriority w:val="0"/>
    <w:pPr>
      <w:ind w:left="1470"/>
      <w:jc w:val="left"/>
    </w:pPr>
    <w:rPr>
      <w:rFonts w:ascii="Times New Roman" w:hAnsi="Times New Roman"/>
      <w:szCs w:val="21"/>
    </w:rPr>
  </w:style>
  <w:style w:type="paragraph" w:styleId="26">
    <w:name w:val="Date"/>
    <w:basedOn w:val="1"/>
    <w:next w:val="1"/>
    <w:link w:val="124"/>
    <w:autoRedefine/>
    <w:qFormat/>
    <w:uiPriority w:val="0"/>
    <w:rPr>
      <w:rFonts w:ascii="宋体" w:hAnsi="Courier New"/>
      <w:kern w:val="0"/>
      <w:sz w:val="32"/>
      <w:szCs w:val="20"/>
    </w:rPr>
  </w:style>
  <w:style w:type="paragraph" w:styleId="27">
    <w:name w:val="Body Text Indent 2"/>
    <w:basedOn w:val="1"/>
    <w:link w:val="129"/>
    <w:autoRedefine/>
    <w:qFormat/>
    <w:uiPriority w:val="0"/>
    <w:pPr>
      <w:spacing w:beforeLines="50" w:afterLines="50" w:line="120" w:lineRule="auto"/>
      <w:ind w:firstLine="840" w:firstLineChars="400"/>
      <w:jc w:val="left"/>
    </w:pPr>
    <w:rPr>
      <w:rFonts w:ascii="宋体" w:hAnsi="宋体"/>
      <w:kern w:val="0"/>
      <w:sz w:val="20"/>
      <w:szCs w:val="24"/>
    </w:rPr>
  </w:style>
  <w:style w:type="paragraph" w:styleId="28">
    <w:name w:val="Balloon Text"/>
    <w:basedOn w:val="1"/>
    <w:link w:val="131"/>
    <w:autoRedefine/>
    <w:qFormat/>
    <w:uiPriority w:val="99"/>
    <w:rPr>
      <w:rFonts w:ascii="Times New Roman" w:hAnsi="Times New Roman"/>
      <w:kern w:val="0"/>
      <w:sz w:val="18"/>
      <w:szCs w:val="18"/>
    </w:rPr>
  </w:style>
  <w:style w:type="paragraph" w:styleId="29">
    <w:name w:val="footer"/>
    <w:basedOn w:val="1"/>
    <w:link w:val="61"/>
    <w:autoRedefine/>
    <w:unhideWhenUsed/>
    <w:qFormat/>
    <w:uiPriority w:val="99"/>
    <w:pPr>
      <w:tabs>
        <w:tab w:val="center" w:pos="4153"/>
        <w:tab w:val="right" w:pos="8306"/>
      </w:tabs>
      <w:snapToGrid w:val="0"/>
      <w:jc w:val="left"/>
    </w:pPr>
    <w:rPr>
      <w:sz w:val="18"/>
      <w:szCs w:val="18"/>
    </w:rPr>
  </w:style>
  <w:style w:type="paragraph" w:styleId="30">
    <w:name w:val="header"/>
    <w:basedOn w:val="1"/>
    <w:link w:val="6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0"/>
    <w:pPr>
      <w:spacing w:before="120" w:after="120"/>
      <w:jc w:val="left"/>
    </w:pPr>
    <w:rPr>
      <w:rFonts w:ascii="Times New Roman" w:hAnsi="Times New Roman"/>
      <w:b/>
      <w:bCs/>
      <w:caps/>
      <w:szCs w:val="24"/>
    </w:rPr>
  </w:style>
  <w:style w:type="paragraph" w:styleId="32">
    <w:name w:val="toc 4"/>
    <w:basedOn w:val="1"/>
    <w:next w:val="1"/>
    <w:autoRedefine/>
    <w:semiHidden/>
    <w:qFormat/>
    <w:uiPriority w:val="0"/>
    <w:pPr>
      <w:ind w:left="630"/>
      <w:jc w:val="left"/>
    </w:pPr>
    <w:rPr>
      <w:rFonts w:ascii="Times New Roman" w:hAnsi="Times New Roman"/>
      <w:szCs w:val="21"/>
    </w:rPr>
  </w:style>
  <w:style w:type="paragraph" w:styleId="33">
    <w:name w:val="toc 6"/>
    <w:basedOn w:val="1"/>
    <w:next w:val="1"/>
    <w:autoRedefine/>
    <w:semiHidden/>
    <w:qFormat/>
    <w:uiPriority w:val="0"/>
    <w:pPr>
      <w:ind w:left="1050"/>
      <w:jc w:val="left"/>
    </w:pPr>
    <w:rPr>
      <w:rFonts w:ascii="Times New Roman" w:hAnsi="Times New Roman"/>
      <w:szCs w:val="21"/>
    </w:rPr>
  </w:style>
  <w:style w:type="paragraph" w:styleId="34">
    <w:name w:val="Body Text Indent 3"/>
    <w:basedOn w:val="1"/>
    <w:link w:val="132"/>
    <w:autoRedefine/>
    <w:qFormat/>
    <w:uiPriority w:val="0"/>
    <w:pPr>
      <w:spacing w:line="360" w:lineRule="auto"/>
      <w:ind w:firstLine="482" w:firstLineChars="200"/>
    </w:pPr>
    <w:rPr>
      <w:rFonts w:ascii="宋体" w:hAnsi="Times New Roman"/>
      <w:b/>
      <w:bCs/>
      <w:kern w:val="0"/>
      <w:sz w:val="24"/>
      <w:szCs w:val="24"/>
    </w:rPr>
  </w:style>
  <w:style w:type="paragraph" w:styleId="35">
    <w:name w:val="toc 2"/>
    <w:basedOn w:val="1"/>
    <w:next w:val="1"/>
    <w:autoRedefine/>
    <w:qFormat/>
    <w:uiPriority w:val="0"/>
    <w:pPr>
      <w:tabs>
        <w:tab w:val="right" w:leader="dot" w:pos="8296"/>
      </w:tabs>
      <w:ind w:left="210"/>
      <w:jc w:val="left"/>
    </w:pPr>
    <w:rPr>
      <w:rFonts w:ascii="Times New Roman" w:hAnsi="Times New Roman"/>
      <w:smallCaps/>
      <w:szCs w:val="24"/>
    </w:rPr>
  </w:style>
  <w:style w:type="paragraph" w:styleId="36">
    <w:name w:val="toc 9"/>
    <w:basedOn w:val="1"/>
    <w:next w:val="1"/>
    <w:autoRedefine/>
    <w:semiHidden/>
    <w:qFormat/>
    <w:uiPriority w:val="0"/>
    <w:pPr>
      <w:ind w:left="1680"/>
      <w:jc w:val="left"/>
    </w:pPr>
    <w:rPr>
      <w:rFonts w:ascii="Times New Roman" w:hAnsi="Times New Roman"/>
      <w:szCs w:val="21"/>
    </w:rPr>
  </w:style>
  <w:style w:type="paragraph" w:styleId="37">
    <w:name w:val="HTML Preformatted"/>
    <w:basedOn w:val="1"/>
    <w:link w:val="128"/>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8">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39">
    <w:name w:val="index 1"/>
    <w:basedOn w:val="1"/>
    <w:next w:val="1"/>
    <w:autoRedefine/>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40">
    <w:name w:val="Title"/>
    <w:basedOn w:val="1"/>
    <w:link w:val="133"/>
    <w:autoRedefine/>
    <w:qFormat/>
    <w:uiPriority w:val="0"/>
    <w:pPr>
      <w:spacing w:before="240" w:after="60"/>
      <w:jc w:val="center"/>
      <w:outlineLvl w:val="0"/>
    </w:pPr>
    <w:rPr>
      <w:rFonts w:ascii="Arial" w:hAnsi="Arial" w:eastAsia="隶书"/>
      <w:b/>
      <w:bCs/>
      <w:kern w:val="0"/>
      <w:sz w:val="32"/>
      <w:szCs w:val="32"/>
    </w:rPr>
  </w:style>
  <w:style w:type="paragraph" w:styleId="41">
    <w:name w:val="annotation subject"/>
    <w:basedOn w:val="16"/>
    <w:next w:val="16"/>
    <w:link w:val="134"/>
    <w:autoRedefine/>
    <w:qFormat/>
    <w:uiPriority w:val="99"/>
    <w:pPr>
      <w:autoSpaceDE/>
      <w:autoSpaceDN/>
      <w:adjustRightInd/>
      <w:textAlignment w:val="auto"/>
    </w:pPr>
    <w:rPr>
      <w:rFonts w:ascii="Times New Roman"/>
      <w:b/>
      <w:bCs/>
      <w:szCs w:val="24"/>
    </w:rPr>
  </w:style>
  <w:style w:type="paragraph" w:styleId="42">
    <w:name w:val="Body Text First Indent"/>
    <w:basedOn w:val="18"/>
    <w:link w:val="135"/>
    <w:autoRedefine/>
    <w:qFormat/>
    <w:uiPriority w:val="0"/>
    <w:pPr>
      <w:spacing w:after="120" w:line="240" w:lineRule="auto"/>
      <w:ind w:firstLine="420" w:firstLineChars="100"/>
    </w:pPr>
    <w:rPr>
      <w:sz w:val="20"/>
    </w:rPr>
  </w:style>
  <w:style w:type="table" w:styleId="44">
    <w:name w:val="Table Grid"/>
    <w:basedOn w:val="4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autoRedefine/>
    <w:qFormat/>
    <w:uiPriority w:val="22"/>
    <w:rPr>
      <w:b/>
      <w:bCs/>
    </w:rPr>
  </w:style>
  <w:style w:type="character" w:styleId="47">
    <w:name w:val="page number"/>
    <w:basedOn w:val="45"/>
    <w:autoRedefine/>
    <w:qFormat/>
    <w:uiPriority w:val="0"/>
  </w:style>
  <w:style w:type="character" w:styleId="48">
    <w:name w:val="FollowedHyperlink"/>
    <w:basedOn w:val="45"/>
    <w:autoRedefine/>
    <w:unhideWhenUsed/>
    <w:qFormat/>
    <w:uiPriority w:val="99"/>
    <w:rPr>
      <w:color w:val="5C5C5C"/>
      <w:u w:val="none"/>
    </w:rPr>
  </w:style>
  <w:style w:type="character" w:styleId="49">
    <w:name w:val="Emphasis"/>
    <w:basedOn w:val="45"/>
    <w:autoRedefine/>
    <w:qFormat/>
    <w:uiPriority w:val="20"/>
    <w:rPr>
      <w:b/>
      <w:bCs/>
    </w:rPr>
  </w:style>
  <w:style w:type="character" w:styleId="50">
    <w:name w:val="HTML Definition"/>
    <w:basedOn w:val="45"/>
    <w:autoRedefine/>
    <w:semiHidden/>
    <w:unhideWhenUsed/>
    <w:qFormat/>
    <w:uiPriority w:val="99"/>
  </w:style>
  <w:style w:type="character" w:styleId="51">
    <w:name w:val="HTML Typewriter"/>
    <w:basedOn w:val="45"/>
    <w:autoRedefine/>
    <w:semiHidden/>
    <w:unhideWhenUsed/>
    <w:qFormat/>
    <w:uiPriority w:val="99"/>
    <w:rPr>
      <w:rFonts w:hint="default" w:ascii="monospace" w:hAnsi="monospace" w:eastAsia="monospace" w:cs="monospace"/>
      <w:color w:val="333333"/>
      <w:sz w:val="20"/>
      <w:shd w:val="clear" w:color="auto" w:fill="FFFFFF"/>
    </w:rPr>
  </w:style>
  <w:style w:type="character" w:styleId="52">
    <w:name w:val="HTML Acronym"/>
    <w:basedOn w:val="45"/>
    <w:autoRedefine/>
    <w:semiHidden/>
    <w:unhideWhenUsed/>
    <w:qFormat/>
    <w:uiPriority w:val="99"/>
  </w:style>
  <w:style w:type="character" w:styleId="53">
    <w:name w:val="HTML Variable"/>
    <w:basedOn w:val="45"/>
    <w:autoRedefine/>
    <w:semiHidden/>
    <w:unhideWhenUsed/>
    <w:qFormat/>
    <w:uiPriority w:val="99"/>
  </w:style>
  <w:style w:type="character" w:styleId="54">
    <w:name w:val="Hyperlink"/>
    <w:basedOn w:val="45"/>
    <w:autoRedefine/>
    <w:qFormat/>
    <w:uiPriority w:val="0"/>
    <w:rPr>
      <w:color w:val="5C5C5C"/>
      <w:u w:val="none"/>
    </w:rPr>
  </w:style>
  <w:style w:type="character" w:styleId="55">
    <w:name w:val="HTML Code"/>
    <w:basedOn w:val="45"/>
    <w:autoRedefine/>
    <w:semiHidden/>
    <w:unhideWhenUsed/>
    <w:qFormat/>
    <w:uiPriority w:val="99"/>
    <w:rPr>
      <w:rFonts w:hint="default" w:ascii="monospace" w:hAnsi="monospace" w:eastAsia="monospace" w:cs="monospace"/>
      <w:sz w:val="20"/>
    </w:rPr>
  </w:style>
  <w:style w:type="character" w:styleId="56">
    <w:name w:val="annotation reference"/>
    <w:autoRedefine/>
    <w:qFormat/>
    <w:uiPriority w:val="0"/>
    <w:rPr>
      <w:sz w:val="21"/>
      <w:szCs w:val="21"/>
    </w:rPr>
  </w:style>
  <w:style w:type="character" w:styleId="57">
    <w:name w:val="HTML Cite"/>
    <w:basedOn w:val="45"/>
    <w:autoRedefine/>
    <w:semiHidden/>
    <w:unhideWhenUsed/>
    <w:qFormat/>
    <w:uiPriority w:val="99"/>
  </w:style>
  <w:style w:type="character" w:styleId="58">
    <w:name w:val="HTML Keyboard"/>
    <w:basedOn w:val="45"/>
    <w:autoRedefine/>
    <w:semiHidden/>
    <w:unhideWhenUsed/>
    <w:qFormat/>
    <w:uiPriority w:val="99"/>
    <w:rPr>
      <w:rFonts w:hint="default" w:ascii="monospace" w:hAnsi="monospace" w:eastAsia="monospace" w:cs="monospace"/>
      <w:sz w:val="20"/>
    </w:rPr>
  </w:style>
  <w:style w:type="character" w:styleId="59">
    <w:name w:val="HTML Sample"/>
    <w:basedOn w:val="45"/>
    <w:autoRedefine/>
    <w:semiHidden/>
    <w:unhideWhenUsed/>
    <w:qFormat/>
    <w:uiPriority w:val="99"/>
    <w:rPr>
      <w:rFonts w:ascii="monospace" w:hAnsi="monospace" w:eastAsia="monospace" w:cs="monospace"/>
    </w:rPr>
  </w:style>
  <w:style w:type="character" w:customStyle="1" w:styleId="60">
    <w:name w:val="页眉 字符"/>
    <w:basedOn w:val="45"/>
    <w:link w:val="30"/>
    <w:autoRedefine/>
    <w:qFormat/>
    <w:uiPriority w:val="99"/>
    <w:rPr>
      <w:sz w:val="18"/>
      <w:szCs w:val="18"/>
    </w:rPr>
  </w:style>
  <w:style w:type="character" w:customStyle="1" w:styleId="61">
    <w:name w:val="页脚 字符"/>
    <w:basedOn w:val="45"/>
    <w:link w:val="29"/>
    <w:autoRedefine/>
    <w:qFormat/>
    <w:uiPriority w:val="99"/>
    <w:rPr>
      <w:sz w:val="18"/>
      <w:szCs w:val="18"/>
    </w:rPr>
  </w:style>
  <w:style w:type="character" w:customStyle="1" w:styleId="62">
    <w:name w:val="标题 1 字符"/>
    <w:basedOn w:val="45"/>
    <w:link w:val="2"/>
    <w:autoRedefine/>
    <w:qFormat/>
    <w:uiPriority w:val="9"/>
    <w:rPr>
      <w:rFonts w:ascii="宋体" w:hAnsi="宋体" w:eastAsia="黑体" w:cs="Times New Roman"/>
      <w:b/>
      <w:bCs/>
      <w:kern w:val="44"/>
      <w:sz w:val="28"/>
      <w:szCs w:val="44"/>
    </w:rPr>
  </w:style>
  <w:style w:type="character" w:customStyle="1" w:styleId="63">
    <w:name w:val="标题 2 字符"/>
    <w:basedOn w:val="45"/>
    <w:link w:val="5"/>
    <w:autoRedefine/>
    <w:qFormat/>
    <w:uiPriority w:val="0"/>
    <w:rPr>
      <w:rFonts w:ascii="宋体" w:hAnsi="宋体" w:eastAsia="宋体" w:cs="Times New Roman"/>
      <w:b/>
      <w:bCs/>
      <w:kern w:val="0"/>
      <w:sz w:val="24"/>
      <w:szCs w:val="20"/>
    </w:rPr>
  </w:style>
  <w:style w:type="character" w:customStyle="1" w:styleId="64">
    <w:name w:val="标题 3 Char"/>
    <w:basedOn w:val="45"/>
    <w:autoRedefine/>
    <w:qFormat/>
    <w:uiPriority w:val="9"/>
    <w:rPr>
      <w:rFonts w:ascii="Calibri" w:hAnsi="Calibri" w:eastAsia="宋体" w:cs="Times New Roman"/>
      <w:b/>
      <w:bCs/>
      <w:sz w:val="32"/>
      <w:szCs w:val="32"/>
    </w:rPr>
  </w:style>
  <w:style w:type="character" w:customStyle="1" w:styleId="65">
    <w:name w:val="标题 4 字符"/>
    <w:basedOn w:val="45"/>
    <w:link w:val="4"/>
    <w:autoRedefine/>
    <w:qFormat/>
    <w:uiPriority w:val="0"/>
    <w:rPr>
      <w:rFonts w:ascii="Arial" w:hAnsi="Arial" w:eastAsia="黑体" w:cs="Times New Roman"/>
      <w:b/>
      <w:bCs/>
      <w:kern w:val="0"/>
      <w:sz w:val="28"/>
      <w:szCs w:val="28"/>
    </w:rPr>
  </w:style>
  <w:style w:type="character" w:customStyle="1" w:styleId="66">
    <w:name w:val="标题 5 字符"/>
    <w:basedOn w:val="45"/>
    <w:link w:val="6"/>
    <w:autoRedefine/>
    <w:qFormat/>
    <w:uiPriority w:val="0"/>
    <w:rPr>
      <w:rFonts w:ascii="Times New Roman" w:hAnsi="Times New Roman" w:eastAsia="宋体" w:cs="Times New Roman"/>
      <w:b/>
      <w:kern w:val="0"/>
      <w:sz w:val="28"/>
      <w:szCs w:val="20"/>
    </w:rPr>
  </w:style>
  <w:style w:type="character" w:customStyle="1" w:styleId="67">
    <w:name w:val="标题 6 字符"/>
    <w:basedOn w:val="45"/>
    <w:link w:val="8"/>
    <w:autoRedefine/>
    <w:qFormat/>
    <w:uiPriority w:val="0"/>
    <w:rPr>
      <w:rFonts w:ascii="Arial" w:hAnsi="Arial" w:eastAsia="黑体" w:cs="Times New Roman"/>
      <w:b/>
      <w:kern w:val="0"/>
      <w:sz w:val="24"/>
      <w:szCs w:val="20"/>
    </w:rPr>
  </w:style>
  <w:style w:type="character" w:customStyle="1" w:styleId="68">
    <w:name w:val="标题 7 字符"/>
    <w:basedOn w:val="45"/>
    <w:link w:val="9"/>
    <w:autoRedefine/>
    <w:qFormat/>
    <w:uiPriority w:val="0"/>
    <w:rPr>
      <w:rFonts w:ascii="Times New Roman" w:hAnsi="Times New Roman" w:eastAsia="宋体" w:cs="Times New Roman"/>
      <w:b/>
      <w:kern w:val="0"/>
      <w:sz w:val="24"/>
      <w:szCs w:val="20"/>
    </w:rPr>
  </w:style>
  <w:style w:type="character" w:customStyle="1" w:styleId="69">
    <w:name w:val="标题 8 字符"/>
    <w:basedOn w:val="45"/>
    <w:link w:val="10"/>
    <w:autoRedefine/>
    <w:qFormat/>
    <w:uiPriority w:val="0"/>
    <w:rPr>
      <w:rFonts w:ascii="Arial" w:hAnsi="Arial" w:eastAsia="黑体" w:cs="Times New Roman"/>
      <w:kern w:val="0"/>
      <w:sz w:val="24"/>
      <w:szCs w:val="20"/>
    </w:rPr>
  </w:style>
  <w:style w:type="character" w:customStyle="1" w:styleId="70">
    <w:name w:val="标题 9 字符"/>
    <w:basedOn w:val="45"/>
    <w:link w:val="11"/>
    <w:autoRedefine/>
    <w:qFormat/>
    <w:uiPriority w:val="0"/>
    <w:rPr>
      <w:rFonts w:ascii="Arial" w:hAnsi="Arial" w:eastAsia="黑体" w:cs="Times New Roman"/>
      <w:kern w:val="0"/>
      <w:sz w:val="20"/>
      <w:szCs w:val="20"/>
    </w:rPr>
  </w:style>
  <w:style w:type="character" w:customStyle="1" w:styleId="71">
    <w:name w:val="标题 3 字符"/>
    <w:link w:val="3"/>
    <w:autoRedefine/>
    <w:qFormat/>
    <w:uiPriority w:val="0"/>
    <w:rPr>
      <w:rFonts w:ascii="宋体" w:hAnsi="宋体" w:eastAsia="宋体" w:cs="Times New Roman"/>
      <w:b/>
      <w:bCs/>
      <w:kern w:val="0"/>
      <w:sz w:val="28"/>
      <w:szCs w:val="32"/>
    </w:rPr>
  </w:style>
  <w:style w:type="character" w:customStyle="1" w:styleId="72">
    <w:name w:val="--规划正文 Char Char"/>
    <w:autoRedefine/>
    <w:qFormat/>
    <w:uiPriority w:val="0"/>
    <w:rPr>
      <w:rFonts w:eastAsia="宋体"/>
      <w:kern w:val="2"/>
      <w:sz w:val="24"/>
      <w:szCs w:val="24"/>
      <w:lang w:val="en-US" w:eastAsia="zh-CN" w:bidi="ar-SA"/>
    </w:rPr>
  </w:style>
  <w:style w:type="character" w:customStyle="1" w:styleId="73">
    <w:name w:val="grame"/>
    <w:basedOn w:val="45"/>
    <w:autoRedefine/>
    <w:qFormat/>
    <w:uiPriority w:val="0"/>
  </w:style>
  <w:style w:type="character" w:customStyle="1" w:styleId="74">
    <w:name w:val="font"/>
    <w:basedOn w:val="45"/>
    <w:autoRedefine/>
    <w:qFormat/>
    <w:uiPriority w:val="0"/>
  </w:style>
  <w:style w:type="character" w:customStyle="1" w:styleId="75">
    <w:name w:val="font2"/>
    <w:basedOn w:val="45"/>
    <w:autoRedefine/>
    <w:qFormat/>
    <w:uiPriority w:val="0"/>
  </w:style>
  <w:style w:type="character" w:customStyle="1" w:styleId="76">
    <w:name w:val="unnamed4"/>
    <w:basedOn w:val="45"/>
    <w:autoRedefine/>
    <w:qFormat/>
    <w:uiPriority w:val="0"/>
  </w:style>
  <w:style w:type="character" w:customStyle="1" w:styleId="77">
    <w:name w:val="样式 小三 加粗"/>
    <w:autoRedefine/>
    <w:qFormat/>
    <w:uiPriority w:val="0"/>
    <w:rPr>
      <w:rFonts w:eastAsia="宋体"/>
      <w:b/>
      <w:bCs/>
      <w:sz w:val="32"/>
    </w:rPr>
  </w:style>
  <w:style w:type="character" w:customStyle="1" w:styleId="78">
    <w:name w:val="z-窗体顶端 Char"/>
    <w:basedOn w:val="45"/>
    <w:autoRedefine/>
    <w:qFormat/>
    <w:uiPriority w:val="0"/>
    <w:rPr>
      <w:rFonts w:ascii="Arial" w:hAnsi="Arial" w:eastAsia="宋体" w:cs="Times New Roman"/>
      <w:vanish/>
      <w:kern w:val="0"/>
      <w:sz w:val="16"/>
      <w:szCs w:val="16"/>
      <w:lang w:val="en-US" w:eastAsia="zh-CN"/>
    </w:rPr>
  </w:style>
  <w:style w:type="paragraph" w:customStyle="1" w:styleId="79">
    <w:name w:val="z-窗体顶端1"/>
    <w:basedOn w:val="1"/>
    <w:next w:val="1"/>
    <w:link w:val="189"/>
    <w:autoRedefine/>
    <w:qFormat/>
    <w:uiPriority w:val="0"/>
    <w:pPr>
      <w:widowControl/>
      <w:pBdr>
        <w:bottom w:val="single" w:color="auto" w:sz="6" w:space="1"/>
      </w:pBdr>
      <w:jc w:val="center"/>
    </w:pPr>
    <w:rPr>
      <w:rFonts w:ascii="Arial" w:hAnsi="Arial"/>
      <w:vanish/>
      <w:kern w:val="0"/>
      <w:sz w:val="16"/>
      <w:szCs w:val="16"/>
    </w:rPr>
  </w:style>
  <w:style w:type="character" w:customStyle="1" w:styleId="80">
    <w:name w:val="批注文字 Char"/>
    <w:basedOn w:val="45"/>
    <w:autoRedefine/>
    <w:qFormat/>
    <w:uiPriority w:val="0"/>
    <w:rPr>
      <w:rFonts w:ascii="宋体" w:hAnsi="Times New Roman" w:eastAsia="宋体" w:cs="Times New Roman"/>
      <w:kern w:val="0"/>
      <w:sz w:val="34"/>
      <w:szCs w:val="20"/>
    </w:rPr>
  </w:style>
  <w:style w:type="character" w:customStyle="1" w:styleId="81">
    <w:name w:val="标题 Char"/>
    <w:basedOn w:val="45"/>
    <w:autoRedefine/>
    <w:qFormat/>
    <w:uiPriority w:val="0"/>
    <w:rPr>
      <w:rFonts w:ascii="Arial" w:hAnsi="Arial" w:eastAsia="隶书" w:cs="Times New Roman"/>
      <w:b/>
      <w:bCs/>
      <w:kern w:val="0"/>
      <w:sz w:val="32"/>
      <w:szCs w:val="32"/>
    </w:rPr>
  </w:style>
  <w:style w:type="character" w:customStyle="1" w:styleId="82">
    <w:name w:val="正文文本 Char"/>
    <w:basedOn w:val="45"/>
    <w:autoRedefine/>
    <w:semiHidden/>
    <w:qFormat/>
    <w:uiPriority w:val="99"/>
    <w:rPr>
      <w:rFonts w:ascii="Calibri" w:hAnsi="Calibri" w:eastAsia="宋体" w:cs="Times New Roman"/>
    </w:rPr>
  </w:style>
  <w:style w:type="character" w:customStyle="1" w:styleId="83">
    <w:name w:val="正文缩进 字符"/>
    <w:link w:val="7"/>
    <w:autoRedefine/>
    <w:qFormat/>
    <w:uiPriority w:val="0"/>
    <w:rPr>
      <w:rFonts w:ascii="Times New Roman" w:hAnsi="Times New Roman" w:eastAsia="宋体" w:cs="Times New Roman"/>
      <w:kern w:val="0"/>
      <w:sz w:val="20"/>
      <w:szCs w:val="20"/>
    </w:rPr>
  </w:style>
  <w:style w:type="character" w:customStyle="1" w:styleId="84">
    <w:name w:val="日期 Char"/>
    <w:basedOn w:val="45"/>
    <w:autoRedefine/>
    <w:qFormat/>
    <w:uiPriority w:val="0"/>
    <w:rPr>
      <w:rFonts w:ascii="宋体" w:hAnsi="Courier New" w:eastAsia="宋体" w:cs="Times New Roman"/>
      <w:kern w:val="0"/>
      <w:sz w:val="32"/>
      <w:szCs w:val="20"/>
    </w:rPr>
  </w:style>
  <w:style w:type="character" w:customStyle="1" w:styleId="85">
    <w:name w:val="正文文字首行缩进 Char"/>
    <w:autoRedefine/>
    <w:qFormat/>
    <w:uiPriority w:val="0"/>
    <w:rPr>
      <w:kern w:val="2"/>
      <w:sz w:val="21"/>
      <w:szCs w:val="24"/>
    </w:rPr>
  </w:style>
  <w:style w:type="character" w:customStyle="1" w:styleId="86">
    <w:name w:val="unnamed3"/>
    <w:basedOn w:val="45"/>
    <w:autoRedefine/>
    <w:qFormat/>
    <w:uiPriority w:val="0"/>
  </w:style>
  <w:style w:type="character" w:customStyle="1" w:styleId="87">
    <w:name w:val="批注主题 Char"/>
    <w:basedOn w:val="80"/>
    <w:autoRedefine/>
    <w:qFormat/>
    <w:uiPriority w:val="99"/>
    <w:rPr>
      <w:rFonts w:ascii="Times New Roman" w:hAnsi="Times New Roman" w:eastAsia="宋体" w:cs="Times New Roman"/>
      <w:b/>
      <w:bCs/>
      <w:kern w:val="0"/>
      <w:sz w:val="34"/>
      <w:szCs w:val="24"/>
    </w:rPr>
  </w:style>
  <w:style w:type="character" w:customStyle="1" w:styleId="88">
    <w:name w:val="gray6"/>
    <w:basedOn w:val="45"/>
    <w:autoRedefine/>
    <w:qFormat/>
    <w:uiPriority w:val="0"/>
  </w:style>
  <w:style w:type="character" w:customStyle="1" w:styleId="89">
    <w:name w:val="纯文本 Char"/>
    <w:basedOn w:val="45"/>
    <w:autoRedefine/>
    <w:qFormat/>
    <w:uiPriority w:val="0"/>
    <w:rPr>
      <w:rFonts w:ascii="宋体" w:hAnsi="Courier New" w:eastAsia="宋体" w:cs="Times New Roman"/>
      <w:kern w:val="0"/>
      <w:sz w:val="20"/>
      <w:szCs w:val="20"/>
    </w:rPr>
  </w:style>
  <w:style w:type="character" w:customStyle="1" w:styleId="90">
    <w:name w:val="正文文本缩进 Char"/>
    <w:basedOn w:val="45"/>
    <w:autoRedefine/>
    <w:qFormat/>
    <w:uiPriority w:val="0"/>
    <w:rPr>
      <w:rFonts w:ascii="Times New Roman" w:hAnsi="Times New Roman" w:eastAsia="宋体" w:cs="Times New Roman"/>
      <w:kern w:val="0"/>
      <w:sz w:val="20"/>
      <w:szCs w:val="24"/>
    </w:rPr>
  </w:style>
  <w:style w:type="character" w:customStyle="1" w:styleId="91">
    <w:name w:val="正文文本 2 Char"/>
    <w:basedOn w:val="45"/>
    <w:autoRedefine/>
    <w:qFormat/>
    <w:uiPriority w:val="0"/>
    <w:rPr>
      <w:rFonts w:ascii="Times New Roman" w:hAnsi="Times New Roman" w:eastAsia="宋体" w:cs="Times New Roman"/>
      <w:kern w:val="0"/>
      <w:sz w:val="24"/>
      <w:szCs w:val="24"/>
    </w:rPr>
  </w:style>
  <w:style w:type="character" w:customStyle="1" w:styleId="92">
    <w:name w:val="标题 3 Char Char"/>
    <w:autoRedefine/>
    <w:qFormat/>
    <w:uiPriority w:val="0"/>
    <w:rPr>
      <w:rFonts w:eastAsia="宋体"/>
      <w:b/>
      <w:bCs/>
      <w:kern w:val="2"/>
      <w:sz w:val="32"/>
      <w:szCs w:val="32"/>
      <w:lang w:val="en-US" w:eastAsia="zh-CN" w:bidi="ar-SA"/>
    </w:rPr>
  </w:style>
  <w:style w:type="character" w:customStyle="1" w:styleId="93">
    <w:name w:val="--规划正文 Char1"/>
    <w:autoRedefine/>
    <w:qFormat/>
    <w:uiPriority w:val="0"/>
    <w:rPr>
      <w:rFonts w:eastAsia="宋体"/>
      <w:kern w:val="2"/>
      <w:sz w:val="21"/>
      <w:lang w:val="en-US" w:eastAsia="zh-CN" w:bidi="ar-SA"/>
    </w:rPr>
  </w:style>
  <w:style w:type="character" w:customStyle="1" w:styleId="94">
    <w:name w:val="正文首行缩进 Char"/>
    <w:basedOn w:val="82"/>
    <w:autoRedefine/>
    <w:qFormat/>
    <w:uiPriority w:val="0"/>
    <w:rPr>
      <w:rFonts w:ascii="Times New Roman" w:hAnsi="Times New Roman" w:eastAsia="宋体" w:cs="Times New Roman"/>
      <w:b/>
      <w:bCs/>
      <w:kern w:val="0"/>
      <w:sz w:val="20"/>
      <w:szCs w:val="24"/>
      <w:lang w:val="en-US" w:eastAsia="zh-CN"/>
    </w:rPr>
  </w:style>
  <w:style w:type="character" w:customStyle="1" w:styleId="95">
    <w:name w:val="z-窗体底端 Char"/>
    <w:basedOn w:val="45"/>
    <w:autoRedefine/>
    <w:qFormat/>
    <w:uiPriority w:val="0"/>
    <w:rPr>
      <w:rFonts w:ascii="Arial" w:hAnsi="Arial" w:eastAsia="宋体" w:cs="Times New Roman"/>
      <w:vanish/>
      <w:kern w:val="0"/>
      <w:sz w:val="16"/>
      <w:szCs w:val="16"/>
      <w:lang w:val="en-US" w:eastAsia="zh-CN"/>
    </w:rPr>
  </w:style>
  <w:style w:type="paragraph" w:customStyle="1" w:styleId="96">
    <w:name w:val="z-窗体底端1"/>
    <w:basedOn w:val="1"/>
    <w:next w:val="1"/>
    <w:link w:val="209"/>
    <w:autoRedefine/>
    <w:qFormat/>
    <w:uiPriority w:val="0"/>
    <w:pPr>
      <w:widowControl/>
      <w:pBdr>
        <w:top w:val="single" w:color="auto" w:sz="6" w:space="1"/>
      </w:pBdr>
      <w:jc w:val="center"/>
    </w:pPr>
    <w:rPr>
      <w:rFonts w:ascii="Arial" w:hAnsi="Arial"/>
      <w:vanish/>
      <w:kern w:val="0"/>
      <w:sz w:val="16"/>
      <w:szCs w:val="16"/>
    </w:rPr>
  </w:style>
  <w:style w:type="character" w:customStyle="1" w:styleId="97">
    <w:name w:val="HTML 预设格式 Char"/>
    <w:basedOn w:val="45"/>
    <w:autoRedefine/>
    <w:qFormat/>
    <w:uiPriority w:val="0"/>
    <w:rPr>
      <w:rFonts w:ascii="Arial Unicode MS" w:hAnsi="Arial Unicode MS" w:eastAsia="Arial Unicode MS" w:cs="Times New Roman"/>
      <w:color w:val="000000"/>
      <w:kern w:val="0"/>
      <w:sz w:val="20"/>
      <w:szCs w:val="20"/>
    </w:rPr>
  </w:style>
  <w:style w:type="character" w:customStyle="1" w:styleId="98">
    <w:name w:val="H4 Char2"/>
    <w:autoRedefine/>
    <w:qFormat/>
    <w:uiPriority w:val="0"/>
    <w:rPr>
      <w:rFonts w:ascii="Arial" w:hAnsi="Arial" w:eastAsia="黑体"/>
      <w:b/>
      <w:bCs/>
      <w:kern w:val="2"/>
      <w:sz w:val="28"/>
      <w:szCs w:val="28"/>
      <w:lang w:val="en-US" w:eastAsia="zh-CN" w:bidi="ar-SA"/>
    </w:rPr>
  </w:style>
  <w:style w:type="character" w:customStyle="1" w:styleId="99">
    <w:name w:val="正文文本 Char1"/>
    <w:autoRedefine/>
    <w:qFormat/>
    <w:uiPriority w:val="0"/>
    <w:rPr>
      <w:rFonts w:ascii="Times New Roman" w:hAnsi="Times New Roman" w:eastAsia="宋体" w:cs="Times New Roman"/>
      <w:b/>
      <w:bCs/>
      <w:kern w:val="0"/>
      <w:sz w:val="24"/>
      <w:szCs w:val="24"/>
    </w:rPr>
  </w:style>
  <w:style w:type="character" w:customStyle="1" w:styleId="100">
    <w:name w:val="body text Char1"/>
    <w:autoRedefine/>
    <w:qFormat/>
    <w:uiPriority w:val="0"/>
    <w:rPr>
      <w:rFonts w:eastAsia="宋体"/>
      <w:kern w:val="2"/>
      <w:sz w:val="21"/>
      <w:lang w:val="en-US" w:eastAsia="zh-CN" w:bidi="ar-SA"/>
    </w:rPr>
  </w:style>
  <w:style w:type="character" w:customStyle="1" w:styleId="101">
    <w:name w:val="文档结构图 Char"/>
    <w:basedOn w:val="45"/>
    <w:autoRedefine/>
    <w:semiHidden/>
    <w:qFormat/>
    <w:uiPriority w:val="0"/>
    <w:rPr>
      <w:rFonts w:ascii="Times New Roman" w:hAnsi="Times New Roman" w:eastAsia="宋体" w:cs="Times New Roman"/>
      <w:kern w:val="0"/>
      <w:sz w:val="20"/>
      <w:szCs w:val="24"/>
      <w:shd w:val="clear" w:color="auto" w:fill="000080"/>
    </w:rPr>
  </w:style>
  <w:style w:type="character" w:customStyle="1" w:styleId="102">
    <w:name w:val="正文文本 3 Char"/>
    <w:basedOn w:val="45"/>
    <w:autoRedefine/>
    <w:qFormat/>
    <w:uiPriority w:val="0"/>
    <w:rPr>
      <w:rFonts w:ascii="Times New Roman" w:hAnsi="Times New Roman" w:eastAsia="宋体" w:cs="Times New Roman"/>
      <w:kern w:val="0"/>
      <w:sz w:val="16"/>
      <w:szCs w:val="16"/>
    </w:rPr>
  </w:style>
  <w:style w:type="character" w:customStyle="1" w:styleId="103">
    <w:name w:val="blue"/>
    <w:basedOn w:val="45"/>
    <w:autoRedefine/>
    <w:qFormat/>
    <w:uiPriority w:val="0"/>
  </w:style>
  <w:style w:type="character" w:customStyle="1" w:styleId="104">
    <w:name w:val="proddescription"/>
    <w:basedOn w:val="45"/>
    <w:autoRedefine/>
    <w:qFormat/>
    <w:uiPriority w:val="0"/>
  </w:style>
  <w:style w:type="character" w:customStyle="1" w:styleId="105">
    <w:name w:val="缩进正文 Char"/>
    <w:link w:val="106"/>
    <w:autoRedefine/>
    <w:qFormat/>
    <w:uiPriority w:val="0"/>
    <w:rPr>
      <w:rFonts w:ascii="Times New Roman" w:hAnsi="Times New Roman" w:eastAsia="仿宋_GB2312" w:cs="Times New Roman"/>
      <w:kern w:val="0"/>
      <w:sz w:val="28"/>
      <w:szCs w:val="20"/>
    </w:rPr>
  </w:style>
  <w:style w:type="paragraph" w:customStyle="1" w:styleId="106">
    <w:name w:val="缩进正文"/>
    <w:basedOn w:val="1"/>
    <w:link w:val="105"/>
    <w:autoRedefine/>
    <w:qFormat/>
    <w:uiPriority w:val="0"/>
    <w:pPr>
      <w:ind w:firstLine="560" w:firstLineChars="200"/>
    </w:pPr>
    <w:rPr>
      <w:rFonts w:ascii="Times New Roman" w:hAnsi="Times New Roman" w:eastAsia="仿宋_GB2312"/>
      <w:kern w:val="0"/>
      <w:sz w:val="28"/>
      <w:szCs w:val="20"/>
    </w:rPr>
  </w:style>
  <w:style w:type="character" w:customStyle="1" w:styleId="107">
    <w:name w:val="style9"/>
    <w:basedOn w:val="45"/>
    <w:autoRedefine/>
    <w:qFormat/>
    <w:uiPriority w:val="0"/>
  </w:style>
  <w:style w:type="character" w:customStyle="1" w:styleId="108">
    <w:name w:val="prodheadlines"/>
    <w:basedOn w:val="45"/>
    <w:autoRedefine/>
    <w:qFormat/>
    <w:uiPriority w:val="0"/>
  </w:style>
  <w:style w:type="character" w:customStyle="1" w:styleId="109">
    <w:name w:val="content1"/>
    <w:autoRedefine/>
    <w:qFormat/>
    <w:uiPriority w:val="0"/>
    <w:rPr>
      <w:rFonts w:hint="default" w:ascii="??" w:hAnsi="??"/>
      <w:sz w:val="16"/>
      <w:szCs w:val="16"/>
      <w:u w:val="none"/>
    </w:rPr>
  </w:style>
  <w:style w:type="character" w:customStyle="1" w:styleId="110">
    <w:name w:val="正文文本缩进 3 Char"/>
    <w:basedOn w:val="45"/>
    <w:autoRedefine/>
    <w:qFormat/>
    <w:uiPriority w:val="0"/>
    <w:rPr>
      <w:rFonts w:ascii="宋体" w:hAnsi="Times New Roman" w:eastAsia="宋体" w:cs="Times New Roman"/>
      <w:b/>
      <w:bCs/>
      <w:kern w:val="0"/>
      <w:sz w:val="24"/>
      <w:szCs w:val="24"/>
    </w:rPr>
  </w:style>
  <w:style w:type="character" w:customStyle="1" w:styleId="111">
    <w:name w:val="章标题1 Char"/>
    <w:autoRedefine/>
    <w:qFormat/>
    <w:uiPriority w:val="0"/>
    <w:rPr>
      <w:rFonts w:eastAsia="宋体"/>
      <w:b/>
      <w:bCs/>
      <w:kern w:val="2"/>
      <w:sz w:val="32"/>
      <w:szCs w:val="32"/>
      <w:lang w:val="en-US" w:eastAsia="zh-CN" w:bidi="ar-SA"/>
    </w:rPr>
  </w:style>
  <w:style w:type="character" w:customStyle="1" w:styleId="112">
    <w:name w:val="font41"/>
    <w:autoRedefine/>
    <w:qFormat/>
    <w:uiPriority w:val="0"/>
    <w:rPr>
      <w:color w:val="000000"/>
      <w:spacing w:val="260"/>
      <w:sz w:val="18"/>
      <w:szCs w:val="18"/>
      <w:u w:val="none"/>
    </w:rPr>
  </w:style>
  <w:style w:type="character" w:customStyle="1" w:styleId="113">
    <w:name w:val="alt-edited1"/>
    <w:autoRedefine/>
    <w:qFormat/>
    <w:uiPriority w:val="0"/>
    <w:rPr>
      <w:color w:val="4D90F0"/>
    </w:rPr>
  </w:style>
  <w:style w:type="character" w:customStyle="1" w:styleId="114">
    <w:name w:val="info4"/>
    <w:basedOn w:val="45"/>
    <w:autoRedefine/>
    <w:qFormat/>
    <w:uiPriority w:val="0"/>
  </w:style>
  <w:style w:type="character" w:customStyle="1" w:styleId="115">
    <w:name w:val="第*章 Char"/>
    <w:autoRedefine/>
    <w:qFormat/>
    <w:uiPriority w:val="0"/>
    <w:rPr>
      <w:rFonts w:ascii="Arial" w:hAnsi="Arial" w:eastAsia="黑体"/>
      <w:b/>
      <w:bCs/>
      <w:kern w:val="2"/>
      <w:sz w:val="32"/>
      <w:szCs w:val="32"/>
    </w:rPr>
  </w:style>
  <w:style w:type="character" w:customStyle="1" w:styleId="116">
    <w:name w:val="text"/>
    <w:basedOn w:val="45"/>
    <w:autoRedefine/>
    <w:qFormat/>
    <w:uiPriority w:val="0"/>
  </w:style>
  <w:style w:type="character" w:customStyle="1" w:styleId="117">
    <w:name w:val="正文文本缩进 2 Char"/>
    <w:basedOn w:val="45"/>
    <w:autoRedefine/>
    <w:qFormat/>
    <w:uiPriority w:val="0"/>
    <w:rPr>
      <w:rFonts w:ascii="宋体" w:hAnsi="宋体" w:eastAsia="宋体" w:cs="Times New Roman"/>
      <w:kern w:val="0"/>
      <w:sz w:val="20"/>
      <w:szCs w:val="24"/>
    </w:rPr>
  </w:style>
  <w:style w:type="character" w:customStyle="1" w:styleId="118">
    <w:name w:val="font11"/>
    <w:autoRedefine/>
    <w:qFormat/>
    <w:uiPriority w:val="0"/>
    <w:rPr>
      <w:rFonts w:hint="default" w:ascii="ˎ̥" w:hAnsi="ˎ̥"/>
    </w:rPr>
  </w:style>
  <w:style w:type="character" w:customStyle="1" w:styleId="119">
    <w:name w:val="批注框文本 Char"/>
    <w:basedOn w:val="45"/>
    <w:autoRedefine/>
    <w:qFormat/>
    <w:uiPriority w:val="99"/>
    <w:rPr>
      <w:rFonts w:ascii="Times New Roman" w:hAnsi="Times New Roman" w:eastAsia="宋体" w:cs="Times New Roman"/>
      <w:kern w:val="0"/>
      <w:sz w:val="18"/>
      <w:szCs w:val="18"/>
    </w:rPr>
  </w:style>
  <w:style w:type="character" w:customStyle="1" w:styleId="120">
    <w:name w:val="mode"/>
    <w:basedOn w:val="45"/>
    <w:autoRedefine/>
    <w:qFormat/>
    <w:uiPriority w:val="0"/>
  </w:style>
  <w:style w:type="character" w:customStyle="1" w:styleId="121">
    <w:name w:val="正文文本 3 字符"/>
    <w:basedOn w:val="45"/>
    <w:link w:val="17"/>
    <w:autoRedefine/>
    <w:semiHidden/>
    <w:qFormat/>
    <w:uiPriority w:val="99"/>
    <w:rPr>
      <w:rFonts w:ascii="Calibri" w:hAnsi="Calibri" w:eastAsia="宋体" w:cs="Times New Roman"/>
      <w:sz w:val="16"/>
      <w:szCs w:val="16"/>
    </w:rPr>
  </w:style>
  <w:style w:type="character" w:customStyle="1" w:styleId="122">
    <w:name w:val="纯文本 字符"/>
    <w:basedOn w:val="45"/>
    <w:link w:val="24"/>
    <w:autoRedefine/>
    <w:semiHidden/>
    <w:qFormat/>
    <w:uiPriority w:val="99"/>
    <w:rPr>
      <w:rFonts w:ascii="宋体" w:hAnsi="Courier New" w:eastAsia="宋体" w:cs="Courier New"/>
      <w:szCs w:val="21"/>
    </w:rPr>
  </w:style>
  <w:style w:type="character" w:customStyle="1" w:styleId="123">
    <w:name w:val="文档结构图 字符"/>
    <w:basedOn w:val="45"/>
    <w:link w:val="15"/>
    <w:autoRedefine/>
    <w:semiHidden/>
    <w:qFormat/>
    <w:uiPriority w:val="99"/>
    <w:rPr>
      <w:rFonts w:ascii="宋体" w:hAnsi="Calibri" w:eastAsia="宋体" w:cs="Times New Roman"/>
      <w:sz w:val="18"/>
      <w:szCs w:val="18"/>
    </w:rPr>
  </w:style>
  <w:style w:type="character" w:customStyle="1" w:styleId="124">
    <w:name w:val="日期 字符"/>
    <w:basedOn w:val="45"/>
    <w:link w:val="26"/>
    <w:autoRedefine/>
    <w:semiHidden/>
    <w:qFormat/>
    <w:uiPriority w:val="99"/>
    <w:rPr>
      <w:rFonts w:ascii="Calibri" w:hAnsi="Calibri" w:eastAsia="宋体" w:cs="Times New Roman"/>
    </w:rPr>
  </w:style>
  <w:style w:type="character" w:customStyle="1" w:styleId="125">
    <w:name w:val="正文文本 字符"/>
    <w:basedOn w:val="45"/>
    <w:link w:val="18"/>
    <w:autoRedefine/>
    <w:semiHidden/>
    <w:qFormat/>
    <w:uiPriority w:val="99"/>
    <w:rPr>
      <w:rFonts w:ascii="Calibri" w:hAnsi="Calibri" w:eastAsia="宋体" w:cs="Times New Roman"/>
    </w:rPr>
  </w:style>
  <w:style w:type="character" w:customStyle="1" w:styleId="126">
    <w:name w:val="正文文本缩进 字符"/>
    <w:basedOn w:val="45"/>
    <w:link w:val="20"/>
    <w:autoRedefine/>
    <w:semiHidden/>
    <w:qFormat/>
    <w:uiPriority w:val="99"/>
    <w:rPr>
      <w:rFonts w:ascii="Calibri" w:hAnsi="Calibri" w:eastAsia="宋体" w:cs="Times New Roman"/>
    </w:rPr>
  </w:style>
  <w:style w:type="character" w:customStyle="1" w:styleId="127">
    <w:name w:val="批注文字 字符"/>
    <w:basedOn w:val="45"/>
    <w:link w:val="16"/>
    <w:autoRedefine/>
    <w:qFormat/>
    <w:uiPriority w:val="0"/>
    <w:rPr>
      <w:rFonts w:ascii="Calibri" w:hAnsi="Calibri" w:eastAsia="宋体" w:cs="Times New Roman"/>
    </w:rPr>
  </w:style>
  <w:style w:type="character" w:customStyle="1" w:styleId="128">
    <w:name w:val="HTML 预设格式 字符"/>
    <w:basedOn w:val="45"/>
    <w:link w:val="37"/>
    <w:autoRedefine/>
    <w:semiHidden/>
    <w:qFormat/>
    <w:uiPriority w:val="99"/>
    <w:rPr>
      <w:rFonts w:ascii="Courier New" w:hAnsi="Courier New" w:eastAsia="宋体" w:cs="Courier New"/>
      <w:sz w:val="20"/>
      <w:szCs w:val="20"/>
    </w:rPr>
  </w:style>
  <w:style w:type="character" w:customStyle="1" w:styleId="129">
    <w:name w:val="正文文本缩进 2 字符"/>
    <w:basedOn w:val="45"/>
    <w:link w:val="27"/>
    <w:autoRedefine/>
    <w:semiHidden/>
    <w:qFormat/>
    <w:uiPriority w:val="99"/>
    <w:rPr>
      <w:rFonts w:ascii="Calibri" w:hAnsi="Calibri" w:eastAsia="宋体" w:cs="Times New Roman"/>
    </w:rPr>
  </w:style>
  <w:style w:type="character" w:customStyle="1" w:styleId="130">
    <w:name w:val="正文文本 2 字符"/>
    <w:basedOn w:val="45"/>
    <w:link w:val="19"/>
    <w:autoRedefine/>
    <w:semiHidden/>
    <w:qFormat/>
    <w:uiPriority w:val="99"/>
    <w:rPr>
      <w:rFonts w:ascii="Calibri" w:hAnsi="Calibri" w:eastAsia="宋体" w:cs="Times New Roman"/>
    </w:rPr>
  </w:style>
  <w:style w:type="character" w:customStyle="1" w:styleId="131">
    <w:name w:val="批注框文本 字符"/>
    <w:basedOn w:val="45"/>
    <w:link w:val="28"/>
    <w:autoRedefine/>
    <w:semiHidden/>
    <w:qFormat/>
    <w:uiPriority w:val="99"/>
    <w:rPr>
      <w:rFonts w:ascii="Calibri" w:hAnsi="Calibri" w:eastAsia="宋体" w:cs="Times New Roman"/>
      <w:sz w:val="18"/>
      <w:szCs w:val="18"/>
    </w:rPr>
  </w:style>
  <w:style w:type="character" w:customStyle="1" w:styleId="132">
    <w:name w:val="正文文本缩进 3 字符"/>
    <w:basedOn w:val="45"/>
    <w:link w:val="34"/>
    <w:autoRedefine/>
    <w:semiHidden/>
    <w:qFormat/>
    <w:uiPriority w:val="99"/>
    <w:rPr>
      <w:rFonts w:ascii="Calibri" w:hAnsi="Calibri" w:eastAsia="宋体" w:cs="Times New Roman"/>
      <w:sz w:val="16"/>
      <w:szCs w:val="16"/>
    </w:rPr>
  </w:style>
  <w:style w:type="character" w:customStyle="1" w:styleId="133">
    <w:name w:val="标题 字符"/>
    <w:basedOn w:val="45"/>
    <w:link w:val="40"/>
    <w:autoRedefine/>
    <w:qFormat/>
    <w:uiPriority w:val="10"/>
    <w:rPr>
      <w:rFonts w:eastAsia="宋体" w:asciiTheme="majorHAnsi" w:hAnsiTheme="majorHAnsi" w:cstheme="majorBidi"/>
      <w:b/>
      <w:bCs/>
      <w:sz w:val="32"/>
      <w:szCs w:val="32"/>
    </w:rPr>
  </w:style>
  <w:style w:type="character" w:customStyle="1" w:styleId="134">
    <w:name w:val="批注主题 字符"/>
    <w:basedOn w:val="127"/>
    <w:link w:val="41"/>
    <w:autoRedefine/>
    <w:semiHidden/>
    <w:qFormat/>
    <w:uiPriority w:val="99"/>
    <w:rPr>
      <w:rFonts w:ascii="Calibri" w:hAnsi="Calibri" w:eastAsia="宋体" w:cs="Times New Roman"/>
      <w:b/>
      <w:bCs/>
    </w:rPr>
  </w:style>
  <w:style w:type="character" w:customStyle="1" w:styleId="135">
    <w:name w:val="正文文本首行缩进 字符"/>
    <w:basedOn w:val="125"/>
    <w:link w:val="42"/>
    <w:autoRedefine/>
    <w:semiHidden/>
    <w:qFormat/>
    <w:uiPriority w:val="99"/>
    <w:rPr>
      <w:rFonts w:ascii="Calibri" w:hAnsi="Calibri" w:eastAsia="宋体" w:cs="Times New Roman"/>
    </w:rPr>
  </w:style>
  <w:style w:type="paragraph" w:customStyle="1" w:styleId="136">
    <w:name w:val="xl34"/>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37">
    <w:name w:val="编号1"/>
    <w:basedOn w:val="1"/>
    <w:autoRedefine/>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8">
    <w:name w:val="--规划正文"/>
    <w:basedOn w:val="1"/>
    <w:autoRedefine/>
    <w:qFormat/>
    <w:uiPriority w:val="0"/>
    <w:pPr>
      <w:spacing w:line="360" w:lineRule="auto"/>
      <w:ind w:firstLine="200" w:firstLineChars="200"/>
    </w:pPr>
    <w:rPr>
      <w:rFonts w:ascii="Times New Roman" w:hAnsi="Times New Roman"/>
      <w:szCs w:val="20"/>
    </w:rPr>
  </w:style>
  <w:style w:type="paragraph" w:customStyle="1" w:styleId="139">
    <w:name w:val="产品描述"/>
    <w:autoRedefine/>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0">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1">
    <w:name w:val="Char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2">
    <w:name w:val="9"/>
    <w:basedOn w:val="1"/>
    <w:next w:val="7"/>
    <w:autoRedefine/>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43">
    <w:name w:val="00"/>
    <w:basedOn w:val="1"/>
    <w:autoRedefine/>
    <w:qFormat/>
    <w:uiPriority w:val="0"/>
    <w:pPr>
      <w:autoSpaceDE w:val="0"/>
      <w:autoSpaceDN w:val="0"/>
      <w:adjustRightInd w:val="0"/>
      <w:jc w:val="left"/>
    </w:pPr>
    <w:rPr>
      <w:rFonts w:ascii="黑体" w:hAnsi="Times New Roman" w:eastAsia="黑体"/>
      <w:b/>
      <w:bCs/>
      <w:kern w:val="0"/>
      <w:sz w:val="20"/>
      <w:szCs w:val="20"/>
    </w:rPr>
  </w:style>
  <w:style w:type="paragraph" w:customStyle="1" w:styleId="144">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45">
    <w:name w:val="blue1"/>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46">
    <w:name w:val="word"/>
    <w:basedOn w:val="1"/>
    <w:autoRedefine/>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47">
    <w:name w:val="样式 标题 2 + 段前: 13 磅 段后: 13 磅 行距: 单倍行距"/>
    <w:basedOn w:val="5"/>
    <w:autoRedefine/>
    <w:qFormat/>
    <w:uiPriority w:val="0"/>
    <w:pPr>
      <w:adjustRightInd/>
      <w:spacing w:before="0" w:after="0"/>
      <w:jc w:val="both"/>
      <w:textAlignment w:val="auto"/>
    </w:pPr>
    <w:rPr>
      <w:rFonts w:ascii="Cambria" w:hAnsi="Cambria" w:cs="宋体"/>
      <w:kern w:val="2"/>
      <w:sz w:val="32"/>
    </w:rPr>
  </w:style>
  <w:style w:type="paragraph" w:customStyle="1" w:styleId="148">
    <w:name w:val="RFI text from 3rd Level"/>
    <w:basedOn w:val="1"/>
    <w:autoRedefine/>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9">
    <w:name w:val="列出段落1"/>
    <w:basedOn w:val="1"/>
    <w:link w:val="223"/>
    <w:autoRedefine/>
    <w:qFormat/>
    <w:uiPriority w:val="0"/>
    <w:pPr>
      <w:ind w:firstLine="420" w:firstLineChars="200"/>
    </w:pPr>
    <w:rPr>
      <w:rFonts w:cs="Calibri"/>
      <w:szCs w:val="21"/>
    </w:rPr>
  </w:style>
  <w:style w:type="paragraph" w:customStyle="1" w:styleId="150">
    <w:name w:val="5"/>
    <w:basedOn w:val="1"/>
    <w:autoRedefine/>
    <w:qFormat/>
    <w:uiPriority w:val="0"/>
    <w:pPr>
      <w:autoSpaceDE w:val="0"/>
      <w:autoSpaceDN w:val="0"/>
      <w:adjustRightInd w:val="0"/>
      <w:jc w:val="left"/>
    </w:pPr>
    <w:rPr>
      <w:rFonts w:ascii="宋体" w:hAnsi="Times New Roman"/>
      <w:b/>
      <w:bCs/>
      <w:kern w:val="0"/>
      <w:sz w:val="18"/>
      <w:szCs w:val="18"/>
    </w:rPr>
  </w:style>
  <w:style w:type="paragraph" w:customStyle="1" w:styleId="151">
    <w:name w:val="_Style 28"/>
    <w:next w:val="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2">
    <w:name w:val="设计依据"/>
    <w:basedOn w:val="18"/>
    <w:autoRedefine/>
    <w:qFormat/>
    <w:uiPriority w:val="0"/>
    <w:pPr>
      <w:tabs>
        <w:tab w:val="left" w:pos="1440"/>
      </w:tabs>
      <w:adjustRightInd w:val="0"/>
      <w:ind w:left="1440" w:hanging="420"/>
      <w:textAlignment w:val="baseline"/>
    </w:pPr>
    <w:rPr>
      <w:rFonts w:ascii="宋体" w:hAnsi="宋体"/>
      <w:b w:val="0"/>
      <w:sz w:val="28"/>
      <w:szCs w:val="18"/>
    </w:rPr>
  </w:style>
  <w:style w:type="paragraph" w:styleId="153">
    <w:name w:val="List Paragraph"/>
    <w:basedOn w:val="1"/>
    <w:autoRedefine/>
    <w:qFormat/>
    <w:uiPriority w:val="34"/>
    <w:pPr>
      <w:ind w:firstLine="420" w:firstLineChars="200"/>
    </w:pPr>
  </w:style>
  <w:style w:type="paragraph" w:customStyle="1" w:styleId="154">
    <w:name w:val="style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规划-小标题"/>
    <w:basedOn w:val="1"/>
    <w:next w:val="138"/>
    <w:autoRedefine/>
    <w:qFormat/>
    <w:uiPriority w:val="0"/>
    <w:pPr>
      <w:keepNext/>
      <w:keepLines/>
      <w:spacing w:line="360" w:lineRule="auto"/>
      <w:outlineLvl w:val="4"/>
    </w:pPr>
    <w:rPr>
      <w:rFonts w:ascii="Times New Roman" w:hAnsi="Times New Roman" w:eastAsia="黑体"/>
      <w:szCs w:val="24"/>
    </w:rPr>
  </w:style>
  <w:style w:type="paragraph" w:customStyle="1" w:styleId="156">
    <w:name w:val="自定义正文"/>
    <w:basedOn w:val="1"/>
    <w:autoRedefine/>
    <w:qFormat/>
    <w:uiPriority w:val="0"/>
    <w:pPr>
      <w:spacing w:afterLines="50"/>
      <w:ind w:left="600" w:leftChars="600"/>
    </w:pPr>
    <w:rPr>
      <w:rFonts w:ascii="Times New Roman" w:hAnsi="Times New Roman"/>
      <w:szCs w:val="24"/>
    </w:rPr>
  </w:style>
  <w:style w:type="paragraph" w:customStyle="1" w:styleId="157">
    <w:name w:val="段落正文"/>
    <w:basedOn w:val="24"/>
    <w:autoRedefine/>
    <w:qFormat/>
    <w:uiPriority w:val="0"/>
    <w:pPr>
      <w:ind w:firstLine="560" w:firstLineChars="200"/>
    </w:pPr>
    <w:rPr>
      <w:sz w:val="28"/>
    </w:rPr>
  </w:style>
  <w:style w:type="paragraph" w:customStyle="1" w:styleId="158">
    <w:name w:val="封面文档标题"/>
    <w:basedOn w:val="1"/>
    <w:autoRedefine/>
    <w:qFormat/>
    <w:uiPriority w:val="0"/>
    <w:pPr>
      <w:autoSpaceDE w:val="0"/>
      <w:autoSpaceDN w:val="0"/>
      <w:adjustRightInd w:val="0"/>
      <w:spacing w:line="360" w:lineRule="auto"/>
      <w:jc w:val="center"/>
    </w:pPr>
    <w:rPr>
      <w:rFonts w:ascii="Arial" w:hAnsi="Arial"/>
      <w:b/>
      <w:kern w:val="0"/>
      <w:sz w:val="56"/>
      <w:szCs w:val="24"/>
    </w:rPr>
  </w:style>
  <w:style w:type="paragraph" w:customStyle="1" w:styleId="159">
    <w:name w:val="--规划-表格-居中"/>
    <w:basedOn w:val="138"/>
    <w:autoRedefine/>
    <w:qFormat/>
    <w:uiPriority w:val="0"/>
    <w:pPr>
      <w:spacing w:line="240" w:lineRule="auto"/>
      <w:ind w:firstLine="0" w:firstLineChars="0"/>
      <w:jc w:val="center"/>
    </w:pPr>
    <w:rPr>
      <w:sz w:val="20"/>
    </w:rPr>
  </w:style>
  <w:style w:type="paragraph" w:customStyle="1" w:styleId="160">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1">
    <w:name w:val="Normal Paragraph"/>
    <w:basedOn w:val="1"/>
    <w:autoRedefine/>
    <w:qFormat/>
    <w:uiPriority w:val="0"/>
    <w:pPr>
      <w:widowControl/>
      <w:spacing w:before="120" w:line="360" w:lineRule="auto"/>
      <w:ind w:firstLine="425"/>
    </w:pPr>
    <w:rPr>
      <w:rFonts w:ascii="Times New Roman" w:hAnsi="Times New Roman"/>
      <w:kern w:val="0"/>
      <w:sz w:val="24"/>
      <w:szCs w:val="24"/>
    </w:rPr>
  </w:style>
  <w:style w:type="paragraph" w:customStyle="1" w:styleId="162">
    <w:name w:val="正文文字缩进项目"/>
    <w:basedOn w:val="20"/>
    <w:autoRedefine/>
    <w:qFormat/>
    <w:uiPriority w:val="0"/>
    <w:pPr>
      <w:tabs>
        <w:tab w:val="left" w:pos="840"/>
      </w:tabs>
      <w:spacing w:after="120" w:line="240" w:lineRule="auto"/>
      <w:ind w:left="840" w:firstLine="0" w:firstLineChars="0"/>
    </w:pPr>
    <w:rPr>
      <w:rFonts w:ascii="Tahoma" w:hAnsi="Tahoma"/>
      <w:sz w:val="22"/>
      <w:szCs w:val="20"/>
    </w:rPr>
  </w:style>
  <w:style w:type="paragraph" w:customStyle="1" w:styleId="163">
    <w:name w:val="小标题 1"/>
    <w:basedOn w:val="1"/>
    <w:autoRedefine/>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64">
    <w:name w:val="样式2"/>
    <w:basedOn w:val="40"/>
    <w:next w:val="165"/>
    <w:autoRedefine/>
    <w:qFormat/>
    <w:uiPriority w:val="0"/>
    <w:pPr>
      <w:spacing w:before="120" w:after="120"/>
    </w:pPr>
    <w:rPr>
      <w:rFonts w:eastAsia="黑体"/>
      <w:b w:val="0"/>
      <w:sz w:val="30"/>
      <w:szCs w:val="30"/>
    </w:rPr>
  </w:style>
  <w:style w:type="paragraph" w:customStyle="1" w:styleId="165">
    <w:name w:val="样式1"/>
    <w:basedOn w:val="40"/>
    <w:autoRedefine/>
    <w:qFormat/>
    <w:uiPriority w:val="0"/>
    <w:pPr>
      <w:spacing w:before="120" w:after="120"/>
    </w:pPr>
    <w:rPr>
      <w:rFonts w:eastAsia="黑体"/>
      <w:b w:val="0"/>
      <w:sz w:val="30"/>
      <w:szCs w:val="21"/>
    </w:rPr>
  </w:style>
  <w:style w:type="paragraph" w:customStyle="1" w:styleId="166">
    <w:name w:val="样式41"/>
    <w:basedOn w:val="1"/>
    <w:autoRedefine/>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67">
    <w:name w:val="Char Char"/>
    <w:basedOn w:val="1"/>
    <w:autoRedefine/>
    <w:qFormat/>
    <w:uiPriority w:val="0"/>
    <w:rPr>
      <w:rFonts w:ascii="Tahoma" w:hAnsi="Tahoma"/>
      <w:sz w:val="24"/>
      <w:szCs w:val="20"/>
    </w:rPr>
  </w:style>
  <w:style w:type="paragraph" w:customStyle="1" w:styleId="168">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169">
    <w:name w:val="Char Char Char"/>
    <w:basedOn w:val="1"/>
    <w:autoRedefine/>
    <w:qFormat/>
    <w:uiPriority w:val="0"/>
    <w:rPr>
      <w:rFonts w:ascii="Tahoma" w:hAnsi="Tahoma"/>
      <w:sz w:val="24"/>
      <w:szCs w:val="20"/>
    </w:rPr>
  </w:style>
  <w:style w:type="paragraph" w:customStyle="1" w:styleId="170">
    <w:name w:val="Char Char Char Char Char"/>
    <w:basedOn w:val="1"/>
    <w:autoRedefine/>
    <w:qFormat/>
    <w:uiPriority w:val="0"/>
    <w:rPr>
      <w:rFonts w:ascii="Tahoma" w:hAnsi="Tahoma"/>
      <w:sz w:val="24"/>
      <w:szCs w:val="20"/>
    </w:rPr>
  </w:style>
  <w:style w:type="paragraph" w:customStyle="1" w:styleId="171">
    <w:name w:val="文档正文"/>
    <w:basedOn w:val="1"/>
    <w:autoRedefine/>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72">
    <w:name w:val="USE 1"/>
    <w:basedOn w:val="1"/>
    <w:autoRedefine/>
    <w:qFormat/>
    <w:uiPriority w:val="0"/>
    <w:pPr>
      <w:spacing w:line="200" w:lineRule="atLeast"/>
      <w:jc w:val="left"/>
    </w:pPr>
    <w:rPr>
      <w:rFonts w:ascii="宋体" w:hAnsi="宋体"/>
      <w:b/>
      <w:sz w:val="24"/>
      <w:szCs w:val="28"/>
    </w:rPr>
  </w:style>
  <w:style w:type="paragraph" w:customStyle="1" w:styleId="173">
    <w:name w:val="--编号内缩进"/>
    <w:basedOn w:val="1"/>
    <w:autoRedefine/>
    <w:qFormat/>
    <w:uiPriority w:val="0"/>
    <w:pPr>
      <w:spacing w:line="360" w:lineRule="auto"/>
      <w:ind w:left="420" w:firstLine="200" w:firstLineChars="200"/>
    </w:pPr>
    <w:rPr>
      <w:rFonts w:ascii="Times New Roman" w:hAnsi="Times New Roman"/>
      <w:szCs w:val="21"/>
    </w:rPr>
  </w:style>
  <w:style w:type="paragraph" w:customStyle="1" w:styleId="174">
    <w:name w:val="图"/>
    <w:basedOn w:val="1"/>
    <w:autoRedefine/>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75">
    <w:name w:val="È±Ê¡ÎÄ±¾"/>
    <w:basedOn w:val="1"/>
    <w:autoRedefine/>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76">
    <w:name w:val="6"/>
    <w:basedOn w:val="150"/>
    <w:autoRedefine/>
    <w:qFormat/>
    <w:uiPriority w:val="0"/>
    <w:pPr>
      <w:spacing w:line="270" w:lineRule="atLeast"/>
      <w:jc w:val="both"/>
    </w:pPr>
    <w:rPr>
      <w:b w:val="0"/>
      <w:bCs w:val="0"/>
    </w:rPr>
  </w:style>
  <w:style w:type="paragraph" w:customStyle="1" w:styleId="177">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78">
    <w:name w:val="2册标题4"/>
    <w:basedOn w:val="1"/>
    <w:next w:val="1"/>
    <w:autoRedefine/>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9">
    <w:name w:val="--规划-表格-居左"/>
    <w:basedOn w:val="138"/>
    <w:autoRedefine/>
    <w:qFormat/>
    <w:uiPriority w:val="0"/>
    <w:pPr>
      <w:spacing w:line="240" w:lineRule="auto"/>
      <w:ind w:firstLine="0" w:firstLineChars="0"/>
    </w:pPr>
    <w:rPr>
      <w:sz w:val="20"/>
    </w:rPr>
  </w:style>
  <w:style w:type="paragraph" w:customStyle="1" w:styleId="180">
    <w:name w:val="Char Char Char 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181">
    <w:name w:val="方案要点"/>
    <w:basedOn w:val="1"/>
    <w:autoRedefine/>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82">
    <w:name w:val="--规划-图和表"/>
    <w:next w:val="138"/>
    <w:autoRedefine/>
    <w:qFormat/>
    <w:uiPriority w:val="0"/>
    <w:pPr>
      <w:jc w:val="center"/>
    </w:pPr>
    <w:rPr>
      <w:rFonts w:ascii="Times New Roman" w:hAnsi="Times New Roman" w:eastAsia="宋体" w:cs="Times New Roman"/>
      <w:kern w:val="2"/>
      <w:sz w:val="21"/>
      <w:lang w:val="en-US" w:eastAsia="zh-CN" w:bidi="ar-SA"/>
    </w:rPr>
  </w:style>
  <w:style w:type="paragraph" w:customStyle="1" w:styleId="183">
    <w:name w:val="Char1"/>
    <w:basedOn w:val="1"/>
    <w:autoRedefine/>
    <w:qFormat/>
    <w:uiPriority w:val="0"/>
    <w:pPr>
      <w:jc w:val="left"/>
    </w:pPr>
    <w:rPr>
      <w:rFonts w:ascii="Tahoma" w:hAnsi="Tahoma"/>
      <w:sz w:val="24"/>
      <w:szCs w:val="20"/>
    </w:rPr>
  </w:style>
  <w:style w:type="paragraph" w:customStyle="1" w:styleId="184">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85">
    <w:name w:val="汉仪细等线简9BOLD"/>
    <w:basedOn w:val="1"/>
    <w:autoRedefine/>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86">
    <w:name w:val="列表项目"/>
    <w:basedOn w:val="1"/>
    <w:autoRedefine/>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87">
    <w:name w:val="text1"/>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88">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9">
    <w:name w:val="z-窗体顶端 Char1"/>
    <w:basedOn w:val="45"/>
    <w:link w:val="79"/>
    <w:autoRedefine/>
    <w:semiHidden/>
    <w:qFormat/>
    <w:uiPriority w:val="99"/>
    <w:rPr>
      <w:rFonts w:ascii="Arial" w:hAnsi="Arial" w:eastAsia="宋体" w:cs="Arial"/>
      <w:vanish/>
      <w:sz w:val="16"/>
      <w:szCs w:val="16"/>
    </w:rPr>
  </w:style>
  <w:style w:type="paragraph" w:customStyle="1" w:styleId="190">
    <w:name w:val="font0"/>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91">
    <w:name w:val="Char Char Char Char Char Char1 Char Char Char Char Char Char Char Char Char Char Char Char Char"/>
    <w:basedOn w:val="1"/>
    <w:autoRedefine/>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9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3">
    <w:name w:val="样式4"/>
    <w:basedOn w:val="1"/>
    <w:autoRedefine/>
    <w:qFormat/>
    <w:uiPriority w:val="0"/>
    <w:pPr>
      <w:tabs>
        <w:tab w:val="left" w:pos="842"/>
      </w:tabs>
      <w:spacing w:line="360" w:lineRule="auto"/>
      <w:ind w:left="842" w:hanging="420"/>
    </w:pPr>
    <w:rPr>
      <w:rFonts w:ascii="Times New Roman" w:hAnsi="Times New Roman"/>
      <w:sz w:val="24"/>
      <w:szCs w:val="24"/>
    </w:rPr>
  </w:style>
  <w:style w:type="paragraph" w:customStyle="1" w:styleId="194">
    <w:name w:val="文字"/>
    <w:basedOn w:val="1"/>
    <w:autoRedefine/>
    <w:qFormat/>
    <w:uiPriority w:val="0"/>
    <w:pPr>
      <w:tabs>
        <w:tab w:val="left" w:pos="8520"/>
      </w:tabs>
      <w:spacing w:line="312" w:lineRule="auto"/>
      <w:ind w:right="-210" w:firstLine="556"/>
    </w:pPr>
    <w:rPr>
      <w:rFonts w:ascii="宋体" w:hAnsi="Times New Roman"/>
      <w:sz w:val="28"/>
      <w:szCs w:val="20"/>
    </w:rPr>
  </w:style>
  <w:style w:type="paragraph" w:customStyle="1" w:styleId="195">
    <w:name w:val="font5"/>
    <w:basedOn w:val="1"/>
    <w:autoRedefine/>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96">
    <w:name w:val="--规划-题注"/>
    <w:basedOn w:val="1"/>
    <w:next w:val="138"/>
    <w:autoRedefine/>
    <w:qFormat/>
    <w:uiPriority w:val="0"/>
    <w:pPr>
      <w:spacing w:line="360" w:lineRule="auto"/>
      <w:jc w:val="center"/>
    </w:pPr>
    <w:rPr>
      <w:rFonts w:ascii="Times New Roman" w:hAnsi="Times New Roman" w:eastAsia="黑体"/>
      <w:szCs w:val="24"/>
    </w:rPr>
  </w:style>
  <w:style w:type="paragraph" w:customStyle="1" w:styleId="197">
    <w:name w:val="font6"/>
    <w:basedOn w:val="1"/>
    <w:autoRedefine/>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8">
    <w:name w:val="--规划正文 Char"/>
    <w:basedOn w:val="1"/>
    <w:autoRedefine/>
    <w:qFormat/>
    <w:uiPriority w:val="0"/>
    <w:pPr>
      <w:spacing w:line="360" w:lineRule="auto"/>
      <w:ind w:firstLine="200" w:firstLineChars="200"/>
    </w:pPr>
    <w:rPr>
      <w:rFonts w:ascii="Times New Roman" w:hAnsi="Times New Roman"/>
      <w:sz w:val="24"/>
      <w:szCs w:val="24"/>
    </w:rPr>
  </w:style>
  <w:style w:type="paragraph" w:customStyle="1" w:styleId="199">
    <w:name w:val="缺省文本"/>
    <w:basedOn w:val="1"/>
    <w:autoRedefine/>
    <w:qFormat/>
    <w:uiPriority w:val="0"/>
    <w:pPr>
      <w:autoSpaceDE w:val="0"/>
      <w:autoSpaceDN w:val="0"/>
      <w:adjustRightInd w:val="0"/>
      <w:jc w:val="left"/>
    </w:pPr>
    <w:rPr>
      <w:rFonts w:ascii="Times New Roman" w:hAnsi="Times New Roman"/>
      <w:kern w:val="0"/>
      <w:szCs w:val="24"/>
    </w:rPr>
  </w:style>
  <w:style w:type="paragraph" w:customStyle="1" w:styleId="200">
    <w:name w:val="样式3"/>
    <w:basedOn w:val="2"/>
    <w:autoRedefine/>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201">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202">
    <w:name w:val="xl72"/>
    <w:basedOn w:val="1"/>
    <w:autoRedefine/>
    <w:qFormat/>
    <w:uiPriority w:val="0"/>
    <w:pPr>
      <w:widowControl/>
      <w:spacing w:before="100" w:beforeAutospacing="1" w:after="100" w:afterAutospacing="1"/>
      <w:jc w:val="left"/>
    </w:pPr>
    <w:rPr>
      <w:rFonts w:ascii="宋体" w:hAnsi="宋体"/>
      <w:b/>
      <w:bCs/>
      <w:kern w:val="0"/>
      <w:sz w:val="28"/>
      <w:szCs w:val="28"/>
    </w:rPr>
  </w:style>
  <w:style w:type="paragraph" w:customStyle="1" w:styleId="203">
    <w:name w:val="7"/>
    <w:basedOn w:val="1"/>
    <w:autoRedefine/>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204">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05">
    <w:name w:val="汉议细等线简8"/>
    <w:autoRedefine/>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06">
    <w:name w:val="8"/>
    <w:basedOn w:val="1"/>
    <w:next w:val="20"/>
    <w:autoRedefine/>
    <w:qFormat/>
    <w:uiPriority w:val="0"/>
    <w:pPr>
      <w:spacing w:after="120"/>
      <w:ind w:left="420" w:leftChars="200"/>
    </w:pPr>
    <w:rPr>
      <w:rFonts w:ascii="Times New Roman" w:hAnsi="Times New Roman"/>
      <w:szCs w:val="24"/>
    </w:rPr>
  </w:style>
  <w:style w:type="paragraph" w:customStyle="1" w:styleId="207">
    <w:name w:val="姜文清定义的正文"/>
    <w:basedOn w:val="1"/>
    <w:autoRedefine/>
    <w:qFormat/>
    <w:uiPriority w:val="0"/>
    <w:pPr>
      <w:spacing w:line="240" w:lineRule="atLeast"/>
      <w:ind w:firstLine="567"/>
    </w:pPr>
    <w:rPr>
      <w:rFonts w:ascii="Times New Roman" w:hAnsi="Times New Roman"/>
      <w:szCs w:val="20"/>
    </w:rPr>
  </w:style>
  <w:style w:type="paragraph" w:customStyle="1" w:styleId="208">
    <w:name w:val="CM2"/>
    <w:basedOn w:val="188"/>
    <w:next w:val="188"/>
    <w:autoRedefine/>
    <w:qFormat/>
    <w:uiPriority w:val="0"/>
    <w:pPr>
      <w:spacing w:line="200" w:lineRule="atLeast"/>
    </w:pPr>
    <w:rPr>
      <w:rFonts w:ascii="Arial" w:hAnsi="Arial" w:eastAsia="宋体" w:cs="Times New Roman"/>
      <w:color w:val="auto"/>
    </w:rPr>
  </w:style>
  <w:style w:type="character" w:customStyle="1" w:styleId="209">
    <w:name w:val="z-窗体底端 Char1"/>
    <w:basedOn w:val="45"/>
    <w:link w:val="96"/>
    <w:autoRedefine/>
    <w:semiHidden/>
    <w:qFormat/>
    <w:uiPriority w:val="99"/>
    <w:rPr>
      <w:rFonts w:ascii="Arial" w:hAnsi="Arial" w:eastAsia="宋体" w:cs="Arial"/>
      <w:vanish/>
      <w:sz w:val="16"/>
      <w:szCs w:val="16"/>
    </w:rPr>
  </w:style>
  <w:style w:type="paragraph" w:customStyle="1" w:styleId="210">
    <w:name w:val="a14"/>
    <w:basedOn w:val="1"/>
    <w:autoRedefine/>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11">
    <w:name w:val="正文样式"/>
    <w:basedOn w:val="1"/>
    <w:autoRedefine/>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12">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13">
    <w:name w:val="表格字"/>
    <w:basedOn w:val="1"/>
    <w:autoRedefine/>
    <w:qFormat/>
    <w:uiPriority w:val="0"/>
    <w:pPr>
      <w:adjustRightInd w:val="0"/>
      <w:jc w:val="center"/>
    </w:pPr>
    <w:rPr>
      <w:rFonts w:ascii="宋体" w:hAnsi="Times New Roman"/>
      <w:sz w:val="24"/>
      <w:szCs w:val="20"/>
    </w:rPr>
  </w:style>
  <w:style w:type="paragraph" w:customStyle="1" w:styleId="214">
    <w:name w:val="qw"/>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15">
    <w:name w:val="评价"/>
    <w:basedOn w:val="1"/>
    <w:autoRedefine/>
    <w:qFormat/>
    <w:uiPriority w:val="0"/>
    <w:pPr>
      <w:spacing w:afterLines="20"/>
      <w:ind w:firstLine="1446" w:firstLineChars="200"/>
    </w:pPr>
    <w:rPr>
      <w:sz w:val="24"/>
      <w:szCs w:val="24"/>
    </w:rPr>
  </w:style>
  <w:style w:type="paragraph" w:customStyle="1" w:styleId="216">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17">
    <w:name w:val="正文(缩进) 五号"/>
    <w:basedOn w:val="1"/>
    <w:autoRedefine/>
    <w:qFormat/>
    <w:uiPriority w:val="0"/>
    <w:pPr>
      <w:widowControl/>
      <w:spacing w:after="120" w:line="360" w:lineRule="auto"/>
      <w:ind w:firstLine="420" w:firstLineChars="200"/>
      <w:jc w:val="left"/>
    </w:pPr>
    <w:rPr>
      <w:rFonts w:ascii="Arial" w:hAnsi="Arial" w:cs="宋体"/>
      <w:kern w:val="0"/>
      <w:szCs w:val="20"/>
    </w:rPr>
  </w:style>
  <w:style w:type="paragraph" w:customStyle="1" w:styleId="218">
    <w:name w:val="封面标题"/>
    <w:basedOn w:val="1"/>
    <w:autoRedefine/>
    <w:qFormat/>
    <w:uiPriority w:val="0"/>
    <w:pPr>
      <w:spacing w:line="360" w:lineRule="auto"/>
      <w:jc w:val="center"/>
    </w:pPr>
    <w:rPr>
      <w:rFonts w:ascii="Times New Roman" w:hAnsi="Times New Roman" w:eastAsia="黑体"/>
      <w:sz w:val="48"/>
      <w:szCs w:val="20"/>
    </w:rPr>
  </w:style>
  <w:style w:type="paragraph" w:customStyle="1" w:styleId="219">
    <w:name w:val="列出段落2"/>
    <w:basedOn w:val="1"/>
    <w:autoRedefine/>
    <w:qFormat/>
    <w:uiPriority w:val="0"/>
    <w:pPr>
      <w:ind w:firstLine="420" w:firstLineChars="200"/>
    </w:pPr>
    <w:rPr>
      <w:szCs w:val="20"/>
    </w:rPr>
  </w:style>
  <w:style w:type="paragraph" w:styleId="220">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character" w:customStyle="1" w:styleId="221">
    <w:name w:val="font31"/>
    <w:basedOn w:val="45"/>
    <w:autoRedefine/>
    <w:qFormat/>
    <w:uiPriority w:val="0"/>
    <w:rPr>
      <w:rFonts w:hint="default" w:ascii="Times New Roman" w:hAnsi="Times New Roman" w:cs="Times New Roman"/>
      <w:color w:val="000000"/>
      <w:sz w:val="21"/>
      <w:szCs w:val="21"/>
      <w:u w:val="none"/>
    </w:rPr>
  </w:style>
  <w:style w:type="character" w:customStyle="1" w:styleId="222">
    <w:name w:val="正文缩进 Char1"/>
    <w:autoRedefine/>
    <w:qFormat/>
    <w:uiPriority w:val="0"/>
    <w:rPr>
      <w:rFonts w:eastAsia="宋体"/>
      <w:kern w:val="2"/>
      <w:sz w:val="21"/>
      <w:lang w:val="en-US" w:eastAsia="zh-CN" w:bidi="ar-SA"/>
    </w:rPr>
  </w:style>
  <w:style w:type="character" w:customStyle="1" w:styleId="223">
    <w:name w:val="列表段落 字符"/>
    <w:link w:val="149"/>
    <w:autoRedefine/>
    <w:qFormat/>
    <w:uiPriority w:val="0"/>
    <w:rPr>
      <w:rFonts w:ascii="Calibri" w:hAnsi="Calibri" w:eastAsia="宋体" w:cs="Calibri"/>
      <w:szCs w:val="21"/>
    </w:rPr>
  </w:style>
  <w:style w:type="paragraph" w:customStyle="1" w:styleId="224">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25">
    <w:name w:val=".正文"/>
    <w:basedOn w:val="1"/>
    <w:autoRedefine/>
    <w:qFormat/>
    <w:uiPriority w:val="0"/>
    <w:pPr>
      <w:spacing w:beforeLines="50"/>
      <w:ind w:firstLine="200" w:firstLineChars="200"/>
    </w:pPr>
    <w:rPr>
      <w:rFonts w:eastAsia="华文仿宋"/>
    </w:rPr>
  </w:style>
  <w:style w:type="character" w:customStyle="1" w:styleId="226">
    <w:name w:val="hover"/>
    <w:basedOn w:val="45"/>
    <w:autoRedefine/>
    <w:qFormat/>
    <w:uiPriority w:val="0"/>
  </w:style>
  <w:style w:type="character" w:customStyle="1" w:styleId="227">
    <w:name w:val="hover1"/>
    <w:basedOn w:val="45"/>
    <w:autoRedefine/>
    <w:qFormat/>
    <w:uiPriority w:val="0"/>
    <w:rPr>
      <w:color w:val="2590EB"/>
    </w:rPr>
  </w:style>
  <w:style w:type="character" w:customStyle="1" w:styleId="228">
    <w:name w:val="hover2"/>
    <w:basedOn w:val="45"/>
    <w:autoRedefine/>
    <w:qFormat/>
    <w:uiPriority w:val="0"/>
    <w:rPr>
      <w:color w:val="2590EB"/>
      <w:shd w:val="clear" w:color="auto" w:fill="E9F4FD"/>
    </w:rPr>
  </w:style>
  <w:style w:type="character" w:customStyle="1" w:styleId="229">
    <w:name w:val="hover3"/>
    <w:basedOn w:val="45"/>
    <w:autoRedefine/>
    <w:qFormat/>
    <w:uiPriority w:val="0"/>
    <w:rPr>
      <w:color w:val="2590E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5D260-D554-4606-A46B-D12B9B57C53D}">
  <ds:schemaRefs/>
</ds:datastoreItem>
</file>

<file path=docProps/app.xml><?xml version="1.0" encoding="utf-8"?>
<Properties xmlns="http://schemas.openxmlformats.org/officeDocument/2006/extended-properties" xmlns:vt="http://schemas.openxmlformats.org/officeDocument/2006/docPropsVTypes">
  <Template>Normal</Template>
  <Pages>106</Pages>
  <Words>69868</Words>
  <Characters>77603</Characters>
  <Lines>581</Lines>
  <Paragraphs>163</Paragraphs>
  <TotalTime>10</TotalTime>
  <ScaleCrop>false</ScaleCrop>
  <LinksUpToDate>false</LinksUpToDate>
  <CharactersWithSpaces>80106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PC</dc:creator>
  <cp:lastModifiedBy>中正招标-李工</cp:lastModifiedBy>
  <cp:lastPrinted>2019-10-21T08:50:00Z</cp:lastPrinted>
  <dcterms:modified xsi:type="dcterms:W3CDTF">2024-07-08T10:16:29Z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8A0C2864DCAE49EE8F5838DB67FBBB76_13</vt:lpwstr>
  </property>
</Properties>
</file>